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丰田柯斯达内饰改装</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eastAsia="宋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竞争性磋商文件</w:t>
      </w:r>
    </w:p>
    <w:p>
      <w:pPr>
        <w:keepNext w:val="0"/>
        <w:keepLines w:val="0"/>
        <w:pageBreakBefore w:val="0"/>
        <w:widowControl w:val="0"/>
        <w:kinsoku/>
        <w:wordWrap/>
        <w:overflowPunct/>
        <w:topLinePunct w:val="0"/>
        <w:autoSpaceDE/>
        <w:autoSpaceDN/>
        <w:bidi w:val="0"/>
        <w:adjustRightInd/>
        <w:snapToGrid/>
        <w:spacing w:line="700" w:lineRule="exact"/>
        <w:ind w:firstLine="2695" w:firstLineChars="895"/>
        <w:textAlignment w:val="auto"/>
        <w:rPr>
          <w:rFonts w:hint="eastAsia" w:ascii="宋体" w:hAnsi="宋体"/>
          <w:b/>
          <w:bCs/>
          <w:color w:val="000000" w:themeColor="text1"/>
          <w:sz w:val="30"/>
          <w:szCs w:val="30"/>
          <w14:textFill>
            <w14:solidFill>
              <w14:schemeClr w14:val="tx1"/>
            </w14:solidFill>
          </w14:textFill>
        </w:rPr>
      </w:pPr>
    </w:p>
    <w:p>
      <w:pPr>
        <w:pStyle w:val="2"/>
        <w:bidi w:val="0"/>
        <w:rPr>
          <w:rFonts w:hint="eastAsia"/>
        </w:rPr>
      </w:pPr>
      <w:bookmarkStart w:id="0" w:name="_GoBack"/>
      <w:bookmarkEnd w:id="0"/>
    </w:p>
    <w:p>
      <w:pPr>
        <w:keepNext w:val="0"/>
        <w:keepLines w:val="0"/>
        <w:pageBreakBefore w:val="0"/>
        <w:kinsoku/>
        <w:wordWrap/>
        <w:overflowPunct/>
        <w:topLinePunct w:val="0"/>
        <w:bidi w:val="0"/>
        <w:spacing w:line="580" w:lineRule="exact"/>
        <w:ind w:firstLine="2695" w:firstLineChars="895"/>
        <w:rPr>
          <w:rFonts w:hint="eastAsia" w:ascii="宋体" w:hAnsi="宋体"/>
          <w:b/>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spacing w:line="580" w:lineRule="exact"/>
        <w:ind w:firstLine="1124" w:firstLineChars="400"/>
        <w:textAlignment w:val="auto"/>
        <w:rPr>
          <w:rFonts w:hint="default" w:ascii="宋体" w:hAnsi="宋体" w:eastAsia="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项目编号：</w:t>
      </w:r>
      <w:r>
        <w:rPr>
          <w:rFonts w:hint="eastAsia" w:ascii="宋体" w:hAnsi="宋体"/>
          <w:b/>
          <w:bCs/>
          <w:color w:val="000000" w:themeColor="text1"/>
          <w:sz w:val="28"/>
          <w:szCs w:val="28"/>
          <w:lang w:val="en-US" w:eastAsia="zh-CN"/>
          <w14:textFill>
            <w14:solidFill>
              <w14:schemeClr w14:val="tx1"/>
            </w14:solidFill>
          </w14:textFill>
        </w:rPr>
        <w:t>202102</w:t>
      </w:r>
    </w:p>
    <w:p>
      <w:pPr>
        <w:keepNext w:val="0"/>
        <w:keepLines w:val="0"/>
        <w:pageBreakBefore w:val="0"/>
        <w:kinsoku/>
        <w:wordWrap/>
        <w:overflowPunct/>
        <w:topLinePunct w:val="0"/>
        <w:autoSpaceDE/>
        <w:autoSpaceDN/>
        <w:bidi w:val="0"/>
        <w:spacing w:line="580" w:lineRule="exact"/>
        <w:ind w:firstLine="1124" w:firstLineChars="400"/>
        <w:textAlignment w:val="auto"/>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丰田柯斯达内饰改装</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项目</w:t>
      </w:r>
    </w:p>
    <w:p>
      <w:pPr>
        <w:keepNext w:val="0"/>
        <w:keepLines w:val="0"/>
        <w:pageBreakBefore w:val="0"/>
        <w:kinsoku/>
        <w:wordWrap/>
        <w:overflowPunct/>
        <w:topLinePunct w:val="0"/>
        <w:autoSpaceDE/>
        <w:autoSpaceDN/>
        <w:bidi w:val="0"/>
        <w:spacing w:line="5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ind w:left="2783" w:leftChars="668" w:hanging="1380" w:hangingChars="491"/>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44"/>
        </w:rPr>
      </w:pPr>
    </w:p>
    <w:p>
      <w:pPr>
        <w:keepNext w:val="0"/>
        <w:keepLines w:val="0"/>
        <w:pageBreakBefore w:val="0"/>
        <w:kinsoku/>
        <w:wordWrap/>
        <w:overflowPunct/>
        <w:topLinePunct w:val="0"/>
        <w:autoSpaceDE/>
        <w:autoSpaceDN/>
        <w:bidi w:val="0"/>
        <w:spacing w:line="580" w:lineRule="exact"/>
        <w:ind w:firstLine="1394" w:firstLineChars="496"/>
        <w:textAlignment w:val="auto"/>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autoSpaceDE/>
        <w:autoSpaceDN/>
        <w:bidi w:val="0"/>
        <w:spacing w:line="580" w:lineRule="exact"/>
        <w:ind w:firstLine="1405" w:firstLineChars="500"/>
        <w:textAlignment w:val="auto"/>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21</w:t>
      </w:r>
      <w:r>
        <w:rPr>
          <w:rFonts w:hint="eastAsia" w:ascii="宋体" w:hAnsi="宋体"/>
          <w:b/>
          <w:sz w:val="28"/>
          <w:szCs w:val="28"/>
        </w:rPr>
        <w:t>年</w:t>
      </w:r>
      <w:r>
        <w:rPr>
          <w:rFonts w:hint="eastAsia" w:ascii="宋体" w:hAnsi="宋体"/>
          <w:b/>
          <w:sz w:val="28"/>
          <w:szCs w:val="28"/>
          <w:lang w:val="en-US" w:eastAsia="zh-CN"/>
        </w:rPr>
        <w:t>7</w:t>
      </w:r>
      <w:r>
        <w:rPr>
          <w:rFonts w:hint="eastAsia" w:ascii="宋体" w:hAnsi="宋体"/>
          <w:b/>
          <w:sz w:val="28"/>
          <w:szCs w:val="28"/>
        </w:rPr>
        <w:t>月</w:t>
      </w:r>
      <w:r>
        <w:rPr>
          <w:rFonts w:hint="eastAsia" w:ascii="宋体" w:hAnsi="宋体"/>
          <w:b/>
          <w:sz w:val="28"/>
          <w:szCs w:val="28"/>
          <w:lang w:val="en-US" w:eastAsia="zh-CN"/>
        </w:rPr>
        <w:t>21</w:t>
      </w:r>
      <w:r>
        <w:rPr>
          <w:rFonts w:hint="eastAsia" w:ascii="宋体" w:hAnsi="宋体"/>
          <w:b/>
          <w:sz w:val="28"/>
          <w:szCs w:val="28"/>
        </w:rPr>
        <w:t>日</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80" w:lineRule="exact"/>
        <w:jc w:val="center"/>
        <w:textAlignment w:val="auto"/>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autoSpaceDE/>
        <w:autoSpaceDN/>
        <w:bidi w:val="0"/>
        <w:spacing w:line="580" w:lineRule="exact"/>
        <w:textAlignment w:val="auto"/>
        <w:rPr>
          <w:rFonts w:hint="eastAsia" w:ascii="宋体" w:hAnsi="宋体"/>
          <w:b/>
          <w:sz w:val="28"/>
          <w:szCs w:val="24"/>
        </w:rPr>
      </w:pP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第二部分 磋商须知…………………………………………</w:t>
      </w:r>
      <w:r>
        <w:rPr>
          <w:rFonts w:hint="eastAsia" w:ascii="宋体" w:hAnsi="宋体"/>
          <w:b/>
          <w:sz w:val="30"/>
          <w:szCs w:val="30"/>
          <w:lang w:val="en-US" w:eastAsia="zh-CN"/>
        </w:rPr>
        <w:t>3</w:t>
      </w:r>
    </w:p>
    <w:p>
      <w:pPr>
        <w:keepNext w:val="0"/>
        <w:keepLines w:val="0"/>
        <w:pageBreakBefore w:val="0"/>
        <w:kinsoku/>
        <w:wordWrap/>
        <w:overflowPunct/>
        <w:topLinePunct w:val="0"/>
        <w:autoSpaceDE/>
        <w:autoSpaceDN/>
        <w:bidi w:val="0"/>
        <w:spacing w:line="580" w:lineRule="exact"/>
        <w:ind w:firstLine="744" w:firstLineChars="247"/>
        <w:textAlignment w:val="auto"/>
        <w:rPr>
          <w:rFonts w:hint="default"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12</w:t>
      </w:r>
    </w:p>
    <w:p>
      <w:pPr>
        <w:keepNext w:val="0"/>
        <w:keepLines w:val="0"/>
        <w:pageBreakBefore w:val="0"/>
        <w:kinsoku/>
        <w:wordWrap/>
        <w:overflowPunct/>
        <w:topLinePunct w:val="0"/>
        <w:autoSpaceDE/>
        <w:autoSpaceDN/>
        <w:bidi w:val="0"/>
        <w:spacing w:line="580" w:lineRule="exact"/>
        <w:ind w:firstLine="744" w:firstLineChars="247"/>
        <w:textAlignment w:val="auto"/>
        <w:rPr>
          <w:rFonts w:hint="eastAsia" w:ascii="宋体" w:hAnsi="宋体" w:eastAsia="宋体"/>
          <w:b/>
          <w:sz w:val="30"/>
          <w:szCs w:val="30"/>
          <w:lang w:val="en-US" w:eastAsia="zh-CN"/>
        </w:rPr>
      </w:pPr>
      <w:r>
        <w:rPr>
          <w:rFonts w:hint="eastAsia" w:ascii="宋体" w:hAnsi="宋体"/>
          <w:b/>
          <w:sz w:val="30"/>
          <w:szCs w:val="30"/>
        </w:rPr>
        <w:t>第四部分 响应文件格式…………………………………</w:t>
      </w:r>
      <w:r>
        <w:rPr>
          <w:rFonts w:hint="eastAsia" w:ascii="宋体" w:hAnsi="宋体"/>
          <w:b/>
          <w:sz w:val="30"/>
          <w:szCs w:val="30"/>
          <w:lang w:val="en-US" w:eastAsia="zh-CN"/>
        </w:rPr>
        <w:t xml:space="preserve"> 14</w:t>
      </w: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pPr>
    </w:p>
    <w:p>
      <w:pPr>
        <w:keepNext w:val="0"/>
        <w:keepLines w:val="0"/>
        <w:pageBreakBefore w:val="0"/>
        <w:kinsoku/>
        <w:wordWrap/>
        <w:overflowPunct/>
        <w:topLinePunct w:val="0"/>
        <w:autoSpaceDE/>
        <w:autoSpaceDN/>
        <w:bidi w:val="0"/>
        <w:spacing w:line="580" w:lineRule="exact"/>
        <w:textAlignment w:val="auto"/>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spacing w:line="580" w:lineRule="exact"/>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丰田柯斯达内饰改装项目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i w:val="0"/>
          <w:caps w:val="0"/>
          <w:color w:val="000000"/>
          <w:spacing w:val="0"/>
          <w:sz w:val="44"/>
          <w:szCs w:val="44"/>
          <w:shd w:val="clear" w:fill="FFFFFF"/>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right="0" w:firstLine="640" w:firstLineChars="200"/>
        <w:jc w:val="both"/>
        <w:textAlignment w:val="auto"/>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绵阳交发顺达出租汽车有限公司现对公司所属车辆丰田柯斯达2020款两辆进行内</w:t>
      </w:r>
      <w:r>
        <w:rPr>
          <w:rFonts w:hint="eastAsia" w:ascii="仿宋" w:hAnsi="仿宋" w:eastAsia="仿宋" w:cs="仿宋"/>
          <w:b w:val="0"/>
          <w:bCs w:val="0"/>
          <w:color w:val="000000" w:themeColor="text1"/>
          <w:sz w:val="32"/>
          <w:szCs w:val="32"/>
          <w:lang w:val="en-US" w:eastAsia="zh-CN"/>
          <w14:textFill>
            <w14:solidFill>
              <w14:schemeClr w14:val="tx1"/>
            </w14:solidFill>
          </w14:textFill>
        </w:rPr>
        <w:t>饰改装，采用</w:t>
      </w: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竞争性磋商方式采购改装供应商，欢迎具备条件的供应商参加磋商。</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lang w:eastAsia="zh-CN"/>
        </w:rPr>
        <w:t>项目概况：</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1.业主单位：绵阳交发顺达出租汽车有限公司</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2.项目名称：丰田柯斯达内饰改装项目</w:t>
      </w:r>
    </w:p>
    <w:p>
      <w:pPr>
        <w:keepNext w:val="0"/>
        <w:keepLines w:val="0"/>
        <w:pageBreakBefore w:val="0"/>
        <w:widowControl/>
        <w:kinsoku/>
        <w:wordWrap/>
        <w:overflowPunct/>
        <w:topLinePunct w:val="0"/>
        <w:autoSpaceDE/>
        <w:autoSpaceDN/>
        <w:bidi w:val="0"/>
        <w:adjustRightInd w:val="0"/>
        <w:spacing w:line="580" w:lineRule="exact"/>
        <w:ind w:left="160" w:leftChars="76" w:firstLine="480" w:firstLineChars="15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3.项目内容：选取1家供应商作为公司丰田柯斯达内饰改装项目供应商。中标单位负责为公司</w:t>
      </w:r>
      <w:r>
        <w:rPr>
          <w:rFonts w:hint="eastAsia" w:ascii="仿宋" w:hAnsi="仿宋" w:eastAsia="仿宋" w:cs="仿宋"/>
          <w:b w:val="0"/>
          <w:bCs w:val="0"/>
          <w:color w:val="auto"/>
          <w:sz w:val="32"/>
          <w:szCs w:val="32"/>
        </w:rPr>
        <w:t>所属车辆</w:t>
      </w:r>
      <w:r>
        <w:rPr>
          <w:rFonts w:hint="eastAsia" w:ascii="仿宋" w:hAnsi="仿宋" w:eastAsia="仿宋" w:cs="仿宋"/>
          <w:b w:val="0"/>
          <w:bCs w:val="0"/>
          <w:color w:val="auto"/>
          <w:sz w:val="32"/>
          <w:szCs w:val="32"/>
          <w:lang w:eastAsia="zh-CN"/>
        </w:rPr>
        <w:t>（</w:t>
      </w:r>
      <w:r>
        <w:rPr>
          <w:rFonts w:hint="eastAsia" w:ascii="仿宋" w:hAnsi="仿宋" w:eastAsia="仿宋" w:cs="仿宋"/>
          <w:i w:val="0"/>
          <w:caps w:val="0"/>
          <w:color w:val="555555"/>
          <w:spacing w:val="0"/>
          <w:kern w:val="0"/>
          <w:sz w:val="32"/>
          <w:szCs w:val="32"/>
          <w:shd w:val="clear" w:fill="FFFFFF"/>
          <w:lang w:val="en-US" w:eastAsia="zh-CN" w:bidi="ar"/>
        </w:rPr>
        <w:t>丰田柯斯达2020款两辆）</w:t>
      </w:r>
      <w:r>
        <w:rPr>
          <w:rFonts w:hint="eastAsia" w:ascii="仿宋" w:hAnsi="仿宋" w:eastAsia="仿宋" w:cs="仿宋"/>
          <w:b w:val="0"/>
          <w:bCs w:val="0"/>
          <w:color w:val="auto"/>
          <w:sz w:val="32"/>
          <w:szCs w:val="32"/>
          <w:lang w:eastAsia="zh-CN"/>
        </w:rPr>
        <w:t>提供</w:t>
      </w:r>
      <w:r>
        <w:rPr>
          <w:rFonts w:hint="eastAsia" w:ascii="仿宋" w:hAnsi="仿宋" w:eastAsia="仿宋" w:cs="仿宋"/>
          <w:b w:val="0"/>
          <w:bCs w:val="0"/>
          <w:color w:val="auto"/>
          <w:sz w:val="32"/>
          <w:szCs w:val="32"/>
          <w:lang w:val="en-US" w:eastAsia="zh-CN"/>
        </w:rPr>
        <w:t>内饰改装服务（改装详细内容见磋商文件报价表）</w:t>
      </w:r>
      <w:r>
        <w:rPr>
          <w:rFonts w:hint="eastAsia" w:ascii="仿宋" w:hAnsi="仿宋" w:eastAsia="仿宋" w:cs="仿宋"/>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4.项目期限：15天。</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5.项目最高限价：223200元。</w:t>
      </w:r>
    </w:p>
    <w:p>
      <w:pPr>
        <w:keepNext w:val="0"/>
        <w:keepLines w:val="0"/>
        <w:pageBreakBefore w:val="0"/>
        <w:widowControl/>
        <w:kinsoku/>
        <w:wordWrap/>
        <w:overflowPunct/>
        <w:topLinePunct w:val="0"/>
        <w:autoSpaceDE/>
        <w:autoSpaceDN/>
        <w:bidi w:val="0"/>
        <w:adjustRightInd w:val="0"/>
        <w:spacing w:line="580" w:lineRule="exact"/>
        <w:ind w:left="0" w:leftChars="0" w:firstLine="838" w:firstLineChars="262"/>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参与此次磋商的单位视为认可该条款。</w:t>
      </w:r>
    </w:p>
    <w:p>
      <w:pPr>
        <w:keepNext w:val="0"/>
        <w:keepLines w:val="0"/>
        <w:pageBreakBefore w:val="0"/>
        <w:numPr>
          <w:ilvl w:val="-1"/>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二、资质要求：</w:t>
      </w: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具有独立承担民事责任的能力；</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color w:val="auto"/>
          <w:spacing w:val="-4"/>
          <w:sz w:val="32"/>
          <w:szCs w:val="32"/>
          <w:lang w:val="en-US" w:eastAsia="zh-CN"/>
        </w:rPr>
      </w:pPr>
      <w:r>
        <w:rPr>
          <w:rFonts w:hint="eastAsia" w:ascii="仿宋" w:hAnsi="仿宋" w:eastAsia="仿宋" w:cs="仿宋"/>
          <w:b w:val="0"/>
          <w:bCs w:val="0"/>
          <w:color w:val="auto"/>
          <w:sz w:val="32"/>
          <w:szCs w:val="32"/>
          <w:lang w:val="en-US" w:eastAsia="zh-CN"/>
        </w:rPr>
        <w:t xml:space="preserve">     2.</w:t>
      </w:r>
      <w:r>
        <w:rPr>
          <w:rFonts w:hint="eastAsia" w:ascii="仿宋" w:hAnsi="仿宋" w:eastAsia="仿宋" w:cs="仿宋"/>
          <w:b w:val="0"/>
          <w:bCs w:val="0"/>
          <w:color w:val="000000" w:themeColor="text1"/>
          <w:sz w:val="32"/>
          <w:szCs w:val="32"/>
          <w14:textFill>
            <w14:solidFill>
              <w14:schemeClr w14:val="tx1"/>
            </w14:solidFill>
          </w14:textFill>
        </w:rPr>
        <w:t>绵阳市内</w:t>
      </w:r>
      <w:r>
        <w:rPr>
          <w:rFonts w:hint="eastAsia" w:ascii="仿宋" w:hAnsi="仿宋" w:eastAsia="仿宋" w:cs="仿宋"/>
          <w:b w:val="0"/>
          <w:bCs w:val="0"/>
          <w:color w:val="000000" w:themeColor="text1"/>
          <w:spacing w:val="-4"/>
          <w:sz w:val="32"/>
          <w:szCs w:val="32"/>
          <w14:textFill>
            <w14:solidFill>
              <w14:schemeClr w14:val="tx1"/>
            </w14:solidFill>
          </w14:textFill>
        </w:rPr>
        <w:t>企业</w:t>
      </w:r>
      <w:r>
        <w:rPr>
          <w:rFonts w:hint="eastAsia" w:ascii="仿宋" w:hAnsi="仿宋" w:eastAsia="仿宋" w:cs="仿宋"/>
          <w:b w:val="0"/>
          <w:bCs w:val="0"/>
          <w:color w:val="auto"/>
          <w:spacing w:val="-4"/>
          <w:sz w:val="32"/>
          <w:szCs w:val="32"/>
        </w:rPr>
        <w:t>，经营年限在</w:t>
      </w:r>
      <w:r>
        <w:rPr>
          <w:rFonts w:hint="eastAsia" w:ascii="仿宋" w:hAnsi="仿宋" w:eastAsia="仿宋" w:cs="仿宋"/>
          <w:b w:val="0"/>
          <w:bCs w:val="0"/>
          <w:color w:val="auto"/>
          <w:spacing w:val="-4"/>
          <w:sz w:val="32"/>
          <w:szCs w:val="32"/>
          <w:lang w:val="en-US" w:eastAsia="zh-CN"/>
        </w:rPr>
        <w:t>3</w:t>
      </w:r>
      <w:r>
        <w:rPr>
          <w:rFonts w:hint="eastAsia" w:ascii="仿宋" w:hAnsi="仿宋" w:eastAsia="仿宋" w:cs="仿宋"/>
          <w:b w:val="0"/>
          <w:bCs w:val="0"/>
          <w:color w:val="auto"/>
          <w:spacing w:val="-4"/>
          <w:sz w:val="32"/>
          <w:szCs w:val="32"/>
        </w:rPr>
        <w:t>年以上，服务设施完善，良好</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3.</w:t>
      </w:r>
      <w:r>
        <w:rPr>
          <w:rFonts w:hint="eastAsia" w:ascii="仿宋" w:hAnsi="仿宋" w:eastAsia="仿宋" w:cs="仿宋"/>
          <w:b w:val="0"/>
          <w:bCs w:val="0"/>
          <w:color w:val="auto"/>
          <w:sz w:val="32"/>
          <w:szCs w:val="32"/>
        </w:rPr>
        <w:t>具有良好的商业信誉，并在经营活动中没有重大违法记录，未发生过重大安全事故。</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具有履行合同所必须的设备和专业技术能力；</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本项目不授受联合体投标；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法律、行政法规规定的其他条件：</w:t>
      </w:r>
    </w:p>
    <w:p>
      <w:pPr>
        <w:pStyle w:val="8"/>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、报名时间及要求：</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1.报名时间：2021年7月23日-29日。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2.报名要求：</w:t>
      </w:r>
      <w:r>
        <w:rPr>
          <w:rFonts w:hint="eastAsia" w:ascii="仿宋" w:hAnsi="仿宋" w:eastAsia="仿宋" w:cs="仿宋"/>
          <w:b w:val="0"/>
          <w:bCs w:val="0"/>
          <w:color w:val="000000"/>
          <w:sz w:val="32"/>
          <w:szCs w:val="32"/>
          <w:lang w:val="en-US" w:eastAsia="zh-CN"/>
        </w:rPr>
        <w:t>有意参加竞争性谈判的企业请将营业执照副本复印件（盖鲜章）一式一份送到绵阳交发顺达出租汽车有限公司预审，同时向绵阳交发顺达出租汽车有限公司缴纳</w:t>
      </w:r>
      <w:r>
        <w:rPr>
          <w:rFonts w:hint="eastAsia" w:ascii="仿宋" w:hAnsi="仿宋" w:eastAsia="仿宋" w:cs="仿宋"/>
          <w:b w:val="0"/>
          <w:bCs w:val="0"/>
          <w:color w:val="auto"/>
          <w:sz w:val="32"/>
          <w:szCs w:val="32"/>
          <w:lang w:val="en-US" w:eastAsia="zh-CN"/>
        </w:rPr>
        <w:t>磋商</w:t>
      </w:r>
      <w:r>
        <w:rPr>
          <w:rFonts w:hint="eastAsia" w:ascii="仿宋" w:hAnsi="仿宋" w:eastAsia="仿宋" w:cs="仿宋"/>
          <w:b w:val="0"/>
          <w:bCs w:val="0"/>
          <w:color w:val="000000"/>
          <w:sz w:val="32"/>
          <w:szCs w:val="32"/>
          <w:lang w:val="en-US" w:eastAsia="zh-CN"/>
        </w:rPr>
        <w:t>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w:t>
      </w:r>
      <w:r>
        <w:rPr>
          <w:rFonts w:hint="eastAsia" w:ascii="仿宋" w:hAnsi="仿宋" w:eastAsia="仿宋" w:cs="仿宋"/>
          <w:b w:val="0"/>
          <w:bCs w:val="0"/>
          <w:color w:val="auto"/>
          <w:sz w:val="32"/>
          <w:szCs w:val="32"/>
          <w:lang w:val="en-US" w:eastAsia="zh-CN"/>
        </w:rPr>
        <w:t>磋商</w:t>
      </w:r>
      <w:r>
        <w:rPr>
          <w:rFonts w:hint="eastAsia" w:ascii="仿宋" w:hAnsi="仿宋" w:eastAsia="仿宋" w:cs="仿宋"/>
          <w:b w:val="0"/>
          <w:bCs w:val="0"/>
          <w:color w:val="000000"/>
          <w:sz w:val="32"/>
          <w:szCs w:val="32"/>
          <w:lang w:val="en-US" w:eastAsia="zh-CN"/>
        </w:rPr>
        <w:t>程序，逾期未送到，不予接收。</w:t>
      </w:r>
    </w:p>
    <w:p>
      <w:pPr>
        <w:pStyle w:val="8"/>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四、资料获取方式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本次采购信息在交发顺达公司官网</w:t>
      </w:r>
      <w:r>
        <w:rPr>
          <w:rFonts w:hint="eastAsia" w:ascii="仿宋" w:hAnsi="仿宋" w:eastAsia="仿宋" w:cs="仿宋"/>
          <w:i w:val="0"/>
          <w:caps w:val="0"/>
          <w:color w:val="auto"/>
          <w:spacing w:val="0"/>
          <w:sz w:val="32"/>
          <w:szCs w:val="32"/>
        </w:rPr>
        <w:t>上以公告形式发布</w:t>
      </w:r>
      <w:r>
        <w:rPr>
          <w:rFonts w:hint="eastAsia" w:ascii="仿宋" w:hAnsi="仿宋" w:eastAsia="仿宋" w:cs="仿宋"/>
          <w:i w:val="0"/>
          <w:caps w:val="0"/>
          <w:color w:val="auto"/>
          <w:spacing w:val="0"/>
          <w:sz w:val="32"/>
          <w:szCs w:val="32"/>
          <w:lang w:eastAsia="zh-CN"/>
        </w:rPr>
        <w:t>，磋商文件（含磋商公告、磋商须知、项目内容及要求、响应文件等）由供应商在网站自行下载。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五、磋商时间及地点：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1.时间：2021年7 月30日上午9：30.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2.地点：绵阳交发顺达出租汽车有限公司（绵阳市金家林收费站旁旅游咨询服务中心一楼）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业主单位：绵阳交发顺达出租汽车有限公司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地    址：绵阳市金家林收费站旁旅游咨询服务中心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 系 人：彭方于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联系电话：18981134736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auto"/>
          <w:sz w:val="36"/>
          <w:szCs w:val="36"/>
        </w:rPr>
      </w:pPr>
      <w:r>
        <w:rPr>
          <w:rFonts w:ascii="宋体" w:hAnsi="宋体"/>
          <w:b/>
          <w:color w:val="auto"/>
          <w:sz w:val="36"/>
          <w:szCs w:val="36"/>
        </w:rPr>
        <w:t xml:space="preserve"> </w:t>
      </w:r>
      <w:r>
        <w:rPr>
          <w:rFonts w:ascii="宋体" w:hAnsi="宋体"/>
          <w:b/>
          <w:color w:val="auto"/>
          <w:sz w:val="44"/>
          <w:szCs w:val="44"/>
        </w:rPr>
        <w:t xml:space="preserve"> </w:t>
      </w:r>
      <w:r>
        <w:rPr>
          <w:rFonts w:hint="eastAsia" w:ascii="方正小标宋简体" w:hAnsi="方正小标宋简体" w:eastAsia="方正小标宋简体" w:cs="方正小标宋简体"/>
          <w:b w:val="0"/>
          <w:bCs/>
          <w:color w:val="auto"/>
          <w:sz w:val="44"/>
          <w:szCs w:val="44"/>
        </w:rPr>
        <w:t>磋商须知</w:t>
      </w:r>
    </w:p>
    <w:p>
      <w:pPr>
        <w:pStyle w:val="7"/>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适用范围</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本磋商文件仅适用于本次磋商所叙述的</w:t>
      </w:r>
      <w:r>
        <w:rPr>
          <w:rFonts w:hint="eastAsia" w:ascii="仿宋" w:hAnsi="仿宋" w:eastAsia="仿宋" w:cs="仿宋"/>
          <w:color w:val="auto"/>
          <w:sz w:val="32"/>
          <w:szCs w:val="32"/>
          <w:lang w:val="en-US" w:eastAsia="zh-CN"/>
        </w:rPr>
        <w:t>车辆维保服务项目</w:t>
      </w:r>
      <w:r>
        <w:rPr>
          <w:rFonts w:hint="eastAsia" w:ascii="仿宋" w:hAnsi="仿宋" w:eastAsia="仿宋" w:cs="仿宋"/>
          <w:color w:val="auto"/>
          <w:sz w:val="32"/>
          <w:szCs w:val="32"/>
          <w:lang w:val="zh-CN" w:eastAsia="zh-CN"/>
        </w:rPr>
        <w:t>采购</w:t>
      </w:r>
      <w:r>
        <w:rPr>
          <w:rFonts w:hint="eastAsia" w:ascii="仿宋" w:hAnsi="仿宋" w:eastAsia="仿宋" w:cs="仿宋"/>
          <w:color w:val="auto"/>
          <w:sz w:val="32"/>
          <w:szCs w:val="32"/>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定义</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“采购人”系指采购本项目的</w:t>
      </w:r>
      <w:r>
        <w:rPr>
          <w:rFonts w:hint="eastAsia" w:ascii="仿宋" w:hAnsi="仿宋" w:eastAsia="仿宋" w:cs="仿宋"/>
          <w:bCs/>
          <w:color w:val="auto"/>
          <w:sz w:val="32"/>
          <w:szCs w:val="32"/>
          <w:lang w:val="en-US" w:eastAsia="zh-CN"/>
        </w:rPr>
        <w:t>绵阳交发顺达出租汽车有限公司</w:t>
      </w:r>
      <w:r>
        <w:rPr>
          <w:rFonts w:hint="eastAsia" w:ascii="仿宋" w:hAnsi="仿宋" w:eastAsia="仿宋" w:cs="仿宋"/>
          <w:color w:val="auto"/>
          <w:sz w:val="32"/>
          <w:szCs w:val="32"/>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“供应商”系指无条件接受磋商文件的各项要求，具备相应履约能力、具有《中华人民共和国政府采购法》第22规定的相关条件并向磋商小组提交响应文件的供应商。</w:t>
      </w:r>
    </w:p>
    <w:p>
      <w:pPr>
        <w:pStyle w:val="4"/>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“服务”系指</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供应商按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文件和合同的要求，向采购人提供所需的服务。</w:t>
      </w:r>
    </w:p>
    <w:p>
      <w:pPr>
        <w:pStyle w:val="7"/>
        <w:keepNext w:val="0"/>
        <w:keepLines w:val="0"/>
        <w:pageBreakBefore w:val="0"/>
        <w:numPr>
          <w:ilvl w:val="0"/>
          <w:numId w:val="1"/>
        </w:numPr>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供应商的要求</w:t>
      </w:r>
    </w:p>
    <w:p>
      <w:pPr>
        <w:pStyle w:val="7"/>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rPr>
        <w:t>合格供应商的范围</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具有独立承担民事责任的能力；</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2.</w:t>
      </w:r>
      <w:r>
        <w:rPr>
          <w:rFonts w:hint="eastAsia" w:ascii="仿宋" w:hAnsi="仿宋" w:eastAsia="仿宋" w:cs="仿宋"/>
          <w:bCs/>
          <w:color w:val="auto"/>
          <w:sz w:val="32"/>
          <w:szCs w:val="32"/>
        </w:rPr>
        <w:t>具有良好的商业信誉和健全的财务会计制度；</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具有履行合同所必需的设备和专业技术能力；</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4.</w:t>
      </w:r>
      <w:r>
        <w:rPr>
          <w:rFonts w:hint="eastAsia" w:ascii="仿宋" w:hAnsi="仿宋" w:eastAsia="仿宋" w:cs="仿宋"/>
          <w:bCs/>
          <w:color w:val="auto"/>
          <w:sz w:val="32"/>
          <w:szCs w:val="32"/>
        </w:rPr>
        <w:t>有依法缴纳税收和社会保障资金的良好记录；</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5.</w:t>
      </w:r>
      <w:r>
        <w:rPr>
          <w:rFonts w:hint="eastAsia" w:ascii="仿宋" w:hAnsi="仿宋" w:eastAsia="仿宋" w:cs="仿宋"/>
          <w:bCs/>
          <w:color w:val="auto"/>
          <w:sz w:val="32"/>
          <w:szCs w:val="32"/>
        </w:rPr>
        <w:t>参加采购活动前三年内，在经营活动中没有重大违法记录；</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具备法律行政法规规定的其他条件；</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rPr>
        <w:t>完全满足磋商文件的实质性要求；</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凡具备磋商文件要求资格，有服务能力的供应商均可参加。</w:t>
      </w:r>
    </w:p>
    <w:p>
      <w:pPr>
        <w:pStyle w:val="7"/>
        <w:keepNext w:val="0"/>
        <w:keepLines w:val="0"/>
        <w:pageBreakBefore w:val="0"/>
        <w:kinsoku/>
        <w:wordWrap/>
        <w:overflowPunct/>
        <w:topLinePunct w:val="0"/>
        <w:autoSpaceDE/>
        <w:autoSpaceDN/>
        <w:bidi w:val="0"/>
        <w:spacing w:line="580" w:lineRule="exact"/>
        <w:ind w:firstLine="48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供应商的限制条件</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bCs/>
          <w:color w:val="auto"/>
          <w:sz w:val="32"/>
          <w:szCs w:val="32"/>
        </w:rPr>
        <w:t>单位负责人为同一人或者存在直接控股、管理关系的不同供应商，不得参加同一合同项下的采购活动。</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联合体各方不得再单独参加或者与其他供应商另外组成联合体参加同一合同项下的采购活动。</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  </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磋商代表</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磋商代表必须是法定代表人，或持有《法定代表人授权委托书》的被授权代表人。</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费用</w:t>
      </w:r>
    </w:p>
    <w:p>
      <w:pPr>
        <w:pStyle w:val="7"/>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的供应商须于2021年7月29日下午16点前向采购人缴纳</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保证金10000.00元。</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保证金退还时间为</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结束后5个工作日。若供应商报名、缴纳</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保证金后没有参与谈判的，</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保证金不予退还。若因采购人原因取消采购任务或者参与竞争性</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的供应商不足三家等原因导致无法开展</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的，取消任务5个工作日退还保证金；</w:t>
      </w:r>
    </w:p>
    <w:p>
      <w:pPr>
        <w:pStyle w:val="7"/>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2.中标供应商在采购人公布中标结果当天下午缴纳履约保证金10000.00元（</w:t>
      </w:r>
      <w:r>
        <w:rPr>
          <w:rFonts w:hint="eastAsia" w:ascii="仿宋" w:hAnsi="仿宋" w:eastAsia="仿宋" w:cs="仿宋"/>
          <w:color w:val="auto"/>
          <w:sz w:val="32"/>
          <w:szCs w:val="32"/>
        </w:rPr>
        <w:t>磋商</w:t>
      </w:r>
      <w:r>
        <w:rPr>
          <w:rFonts w:hint="eastAsia" w:ascii="仿宋" w:hAnsi="仿宋" w:eastAsia="仿宋" w:cs="仿宋"/>
          <w:color w:val="auto"/>
          <w:sz w:val="32"/>
          <w:szCs w:val="32"/>
          <w:lang w:val="en-US" w:eastAsia="zh-CN"/>
        </w:rPr>
        <w:t>保证金可转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无论磋商结果如何，供应商自行承担所有与参加磋商有关的全部费用；</w:t>
      </w:r>
    </w:p>
    <w:p>
      <w:pPr>
        <w:pStyle w:val="7"/>
        <w:keepNext w:val="0"/>
        <w:keepLines w:val="0"/>
        <w:pageBreakBefore w:val="0"/>
        <w:kinsoku/>
        <w:wordWrap/>
        <w:overflowPunct/>
        <w:topLinePunct w:val="0"/>
        <w:autoSpaceDE/>
        <w:autoSpaceDN/>
        <w:bidi w:val="0"/>
        <w:spacing w:line="580" w:lineRule="exact"/>
        <w:ind w:firstLine="321" w:firstLineChars="10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bCs w:val="0"/>
          <w:color w:val="auto"/>
          <w:sz w:val="32"/>
          <w:szCs w:val="32"/>
          <w:highlight w:val="none"/>
          <w:lang w:val="en-US" w:eastAsia="zh-CN"/>
        </w:rPr>
        <w:t>*</w:t>
      </w:r>
      <w:r>
        <w:rPr>
          <w:rFonts w:hint="eastAsia" w:ascii="黑体" w:hAnsi="黑体" w:eastAsia="黑体" w:cs="黑体"/>
          <w:b w:val="0"/>
          <w:bCs/>
          <w:color w:val="auto"/>
          <w:sz w:val="32"/>
          <w:szCs w:val="32"/>
          <w:highlight w:val="none"/>
          <w:lang w:val="en-US" w:eastAsia="zh-CN"/>
        </w:rPr>
        <w:t xml:space="preserve"> 六、</w:t>
      </w:r>
      <w:r>
        <w:rPr>
          <w:rFonts w:hint="eastAsia" w:ascii="黑体" w:hAnsi="黑体" w:eastAsia="黑体" w:cs="黑体"/>
          <w:b w:val="0"/>
          <w:bCs/>
          <w:color w:val="auto"/>
          <w:sz w:val="32"/>
          <w:szCs w:val="32"/>
          <w:highlight w:val="none"/>
        </w:rPr>
        <w:t>响应文件</w:t>
      </w:r>
      <w:r>
        <w:rPr>
          <w:rFonts w:hint="eastAsia" w:ascii="黑体" w:hAnsi="黑体" w:eastAsia="黑体" w:cs="黑体"/>
          <w:b w:val="0"/>
          <w:bCs/>
          <w:color w:val="auto"/>
          <w:sz w:val="32"/>
          <w:szCs w:val="32"/>
          <w:highlight w:val="none"/>
          <w:lang w:eastAsia="zh-CN"/>
        </w:rPr>
        <w:t>（参与磋商的供应商必须提交的材料）</w:t>
      </w:r>
    </w:p>
    <w:p>
      <w:pPr>
        <w:pStyle w:val="7"/>
        <w:keepNext w:val="0"/>
        <w:keepLines w:val="0"/>
        <w:pageBreakBefore w:val="0"/>
        <w:numPr>
          <w:ilvl w:val="0"/>
          <w:numId w:val="2"/>
        </w:numPr>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响应文件的组成</w:t>
      </w:r>
    </w:p>
    <w:p>
      <w:pPr>
        <w:pStyle w:val="7"/>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w:t>
      </w:r>
      <w:r>
        <w:rPr>
          <w:rFonts w:hint="eastAsia" w:ascii="仿宋_GB2312" w:hAnsi="仿宋_GB2312" w:eastAsia="仿宋_GB2312" w:cs="仿宋_GB2312"/>
          <w:b/>
          <w:bCs w:val="0"/>
          <w:color w:val="auto"/>
          <w:sz w:val="32"/>
          <w:szCs w:val="32"/>
          <w:lang w:val="en-US" w:eastAsia="zh-CN"/>
        </w:rPr>
        <w:t xml:space="preserve">  1.资质文件</w:t>
      </w:r>
    </w:p>
    <w:p>
      <w:pPr>
        <w:pStyle w:val="7"/>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授权委托书（上述文件均加盖</w:t>
      </w:r>
      <w:r>
        <w:rPr>
          <w:rFonts w:hint="eastAsia" w:ascii="仿宋" w:hAnsi="仿宋" w:eastAsia="仿宋" w:cs="仿宋"/>
          <w:color w:val="auto"/>
          <w:sz w:val="32"/>
          <w:szCs w:val="32"/>
          <w:lang w:eastAsia="zh-CN"/>
        </w:rPr>
        <w:t>公章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安全生产</w:t>
      </w:r>
      <w:r>
        <w:rPr>
          <w:rFonts w:hint="eastAsia" w:ascii="仿宋" w:hAnsi="仿宋" w:eastAsia="仿宋" w:cs="仿宋"/>
          <w:color w:val="000000" w:themeColor="text1"/>
          <w:sz w:val="32"/>
          <w:szCs w:val="32"/>
          <w:lang w:eastAsia="zh-CN"/>
          <w14:textFill>
            <w14:solidFill>
              <w14:schemeClr w14:val="tx1"/>
            </w14:solidFill>
          </w14:textFill>
        </w:rPr>
        <w:t>达标证明、</w:t>
      </w:r>
      <w:r>
        <w:rPr>
          <w:rFonts w:hint="eastAsia" w:ascii="仿宋" w:hAnsi="仿宋" w:eastAsia="仿宋" w:cs="仿宋"/>
          <w:b w:val="0"/>
          <w:bCs w:val="0"/>
          <w:color w:val="000000" w:themeColor="text1"/>
          <w:kern w:val="0"/>
          <w:sz w:val="32"/>
          <w:szCs w:val="32"/>
          <w14:textFill>
            <w14:solidFill>
              <w14:schemeClr w14:val="tx1"/>
            </w14:solidFill>
          </w14:textFill>
        </w:rPr>
        <w:t>提供技术工人、质量检验员名单，证书影印件</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7"/>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（1）服务质量承诺，内容须包含：</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themeColor="text1"/>
          <w:kern w:val="0"/>
          <w:sz w:val="32"/>
          <w:szCs w:val="32"/>
          <w:highlight w:val="none"/>
          <w14:textFill>
            <w14:solidFill>
              <w14:schemeClr w14:val="tx1"/>
            </w14:solidFill>
          </w14:textFill>
        </w:rPr>
      </w:pP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①</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本着对客户认真负责的态度，做到热情周到、</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积极响应</w:t>
      </w:r>
      <w:r>
        <w:rPr>
          <w:rFonts w:hint="eastAsia" w:ascii="仿宋" w:hAnsi="仿宋" w:eastAsia="仿宋" w:cs="仿宋"/>
          <w:b w:val="0"/>
          <w:bCs w:val="0"/>
          <w:color w:val="000000" w:themeColor="text1"/>
          <w:kern w:val="0"/>
          <w:sz w:val="32"/>
          <w:szCs w:val="32"/>
          <w:highlight w:val="none"/>
          <w14:textFill>
            <w14:solidFill>
              <w14:schemeClr w14:val="tx1"/>
            </w14:solidFill>
          </w14:textFill>
        </w:rPr>
        <w:t>，全日制服务（节假日、双休日照常作业）。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②内饰改装</w:t>
      </w:r>
      <w:r>
        <w:rPr>
          <w:rFonts w:hint="eastAsia" w:ascii="仿宋" w:hAnsi="仿宋" w:eastAsia="仿宋" w:cs="仿宋"/>
          <w:b w:val="0"/>
          <w:bCs w:val="0"/>
          <w:color w:val="000000" w:themeColor="text1"/>
          <w:kern w:val="0"/>
          <w:sz w:val="32"/>
          <w:szCs w:val="32"/>
          <w:highlight w:val="none"/>
          <w14:textFill>
            <w14:solidFill>
              <w14:schemeClr w14:val="tx1"/>
            </w14:solidFill>
          </w14:textFill>
        </w:rPr>
        <w:t>配件</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配饰</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、配件</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配饰</w:t>
      </w:r>
      <w:r>
        <w:rPr>
          <w:rFonts w:hint="eastAsia" w:ascii="仿宋" w:hAnsi="仿宋" w:eastAsia="仿宋" w:cs="仿宋"/>
          <w:b w:val="0"/>
          <w:bCs w:val="0"/>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材料应保质保量，有正规的出厂合格证，不得使用“三无”产品，不得以次充好，以旧代新，质价不符，乱收费、搞回扣等。违反规定</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将</w:t>
      </w:r>
      <w:r>
        <w:rPr>
          <w:rFonts w:hint="eastAsia" w:ascii="仿宋" w:hAnsi="仿宋" w:eastAsia="仿宋" w:cs="仿宋"/>
          <w:b w:val="0"/>
          <w:bCs w:val="0"/>
          <w:color w:val="000000" w:themeColor="text1"/>
          <w:kern w:val="0"/>
          <w:sz w:val="32"/>
          <w:szCs w:val="32"/>
          <w:highlight w:val="none"/>
          <w14:textFill>
            <w14:solidFill>
              <w14:schemeClr w14:val="tx1"/>
            </w14:solidFill>
          </w14:textFill>
        </w:rPr>
        <w:t>视情节轻重给予追回损失，没收履约担保金和移交相关部门处理</w:t>
      </w:r>
      <w:r>
        <w:rPr>
          <w:rFonts w:hint="eastAsia" w:ascii="仿宋" w:hAnsi="仿宋" w:eastAsia="仿宋" w:cs="仿宋"/>
          <w:b w:val="0"/>
          <w:bCs w:val="0"/>
          <w:color w:val="000000" w:themeColor="text1"/>
          <w:kern w:val="0"/>
          <w:sz w:val="32"/>
          <w:szCs w:val="32"/>
          <w:highlight w:val="none"/>
          <w:lang w:val="en-US" w:eastAsia="zh-CN"/>
          <w14:textFill>
            <w14:solidFill>
              <w14:schemeClr w14:val="tx1"/>
            </w14:solidFill>
          </w14:textFill>
        </w:rPr>
        <w:t>等</w:t>
      </w:r>
      <w:r>
        <w:rPr>
          <w:rFonts w:hint="eastAsia" w:ascii="仿宋" w:hAnsi="仿宋" w:eastAsia="仿宋" w:cs="仿宋"/>
          <w:b w:val="0"/>
          <w:bCs w:val="0"/>
          <w:color w:val="000000" w:themeColor="text1"/>
          <w:kern w:val="0"/>
          <w:sz w:val="32"/>
          <w:szCs w:val="32"/>
          <w:highlight w:val="none"/>
          <w14:textFill>
            <w14:solidFill>
              <w14:schemeClr w14:val="tx1"/>
            </w14:solidFill>
          </w14:textFill>
        </w:rPr>
        <w:t>。</w:t>
      </w:r>
    </w:p>
    <w:p>
      <w:pPr>
        <w:pStyle w:val="7"/>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（2）其他优质服务相关资料（</w:t>
      </w:r>
      <w:r>
        <w:rPr>
          <w:rFonts w:hint="eastAsia" w:ascii="仿宋" w:hAnsi="仿宋" w:eastAsia="仿宋" w:cs="仿宋"/>
          <w:b w:val="0"/>
          <w:bCs/>
          <w:color w:val="auto"/>
          <w:sz w:val="32"/>
          <w:szCs w:val="32"/>
          <w:lang w:val="en-US" w:eastAsia="zh-CN"/>
        </w:rPr>
        <w:t>评分标准详解</w:t>
      </w:r>
      <w:r>
        <w:rPr>
          <w:rFonts w:hint="eastAsia" w:ascii="仿宋" w:hAnsi="仿宋" w:eastAsia="仿宋" w:cs="仿宋"/>
          <w:b w:val="0"/>
          <w:bCs w:val="0"/>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3、商务文件</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磋商函</w:t>
      </w:r>
      <w:r>
        <w:rPr>
          <w:rFonts w:hint="eastAsia" w:ascii="仿宋" w:hAnsi="仿宋" w:eastAsia="仿宋" w:cs="仿宋"/>
          <w:b w:val="0"/>
          <w:bCs/>
          <w:color w:val="auto"/>
          <w:sz w:val="32"/>
          <w:szCs w:val="32"/>
          <w:lang w:eastAsia="zh-CN"/>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（2）报价表；</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供应商认为须提交的其他资料</w:t>
      </w:r>
    </w:p>
    <w:p>
      <w:pPr>
        <w:pStyle w:val="7"/>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highlight w:val="yellow"/>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rPr>
        <w:t>响应文件编制要求</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val="en-US" w:eastAsia="zh-CN"/>
        </w:rPr>
        <w:t>由上述</w:t>
      </w:r>
      <w:r>
        <w:rPr>
          <w:rFonts w:hint="eastAsia" w:ascii="仿宋" w:hAnsi="仿宋" w:eastAsia="仿宋" w:cs="仿宋"/>
          <w:color w:val="auto"/>
          <w:sz w:val="32"/>
          <w:szCs w:val="32"/>
        </w:rPr>
        <w:t>顺序组成，装订成册。</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响应文件一式</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份，其中正本一份，副本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份。如果正本与副本不符，以正本为准。响应文件应字迹清楚、内容齐全、数字准确、不应有涂改增删处。如修改时，修改处须有响应文件全权代表印章。</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响应文件中报价表必须加盖供应商公章。</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7"/>
        <w:keepNext w:val="0"/>
        <w:keepLines w:val="0"/>
        <w:pageBreakBefore w:val="0"/>
        <w:kinsoku/>
        <w:wordWrap/>
        <w:overflowPunct/>
        <w:topLinePunct w:val="0"/>
        <w:autoSpaceDE/>
        <w:autoSpaceDN/>
        <w:bidi w:val="0"/>
        <w:spacing w:line="580" w:lineRule="exact"/>
        <w:ind w:firstLine="321" w:firstLineChars="1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响应文件</w:t>
      </w:r>
      <w:r>
        <w:rPr>
          <w:rFonts w:hint="eastAsia" w:ascii="楷体_GB2312" w:hAnsi="楷体_GB2312" w:eastAsia="楷体_GB2312" w:cs="楷体_GB2312"/>
          <w:b/>
          <w:bCs w:val="0"/>
          <w:color w:val="auto"/>
          <w:sz w:val="32"/>
          <w:szCs w:val="32"/>
          <w:lang w:eastAsia="zh-CN"/>
        </w:rPr>
        <w:t>递交时间</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21</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30</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val="en-US" w:eastAsia="zh-CN"/>
        </w:rPr>
        <w:t>9：30</w:t>
      </w:r>
      <w:r>
        <w:rPr>
          <w:rFonts w:hint="eastAsia" w:ascii="仿宋" w:hAnsi="仿宋" w:eastAsia="仿宋" w:cs="仿宋"/>
          <w:b w:val="0"/>
          <w:bCs/>
          <w:color w:val="auto"/>
          <w:sz w:val="32"/>
          <w:szCs w:val="32"/>
        </w:rPr>
        <w:t>前送达磋商地点。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报价要求：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所有报价均以人民币报价。</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本次磋商报价为固定总值报价，为完成本次符合采购人要求的全部费用。</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本次磋商采用</w:t>
      </w:r>
      <w:r>
        <w:rPr>
          <w:rFonts w:hint="eastAsia" w:ascii="仿宋" w:hAnsi="仿宋" w:eastAsia="仿宋" w:cs="仿宋"/>
          <w:b w:val="0"/>
          <w:bCs/>
          <w:color w:val="auto"/>
          <w:sz w:val="32"/>
          <w:szCs w:val="32"/>
          <w:u w:val="single"/>
        </w:rPr>
        <w:t>二轮（最终）</w:t>
      </w:r>
      <w:r>
        <w:rPr>
          <w:rFonts w:hint="eastAsia" w:ascii="仿宋" w:hAnsi="仿宋" w:eastAsia="仿宋" w:cs="仿宋"/>
          <w:b w:val="0"/>
          <w:bCs/>
          <w:color w:val="auto"/>
          <w:sz w:val="32"/>
          <w:szCs w:val="32"/>
        </w:rPr>
        <w:t>报价法，供应商递交的响应文件中的报价为第一轮报价。</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不接受任何选择报价，只允许有一个报价和一个方案，任何有选择性的报价和方案将不予接受。</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本项目所发生的一切费用均应包括在总报价中。若有漏报或缺报，视为该项费用已包括在其它项目中，磋商报价的总价和单价不做调整。</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八、</w:t>
      </w:r>
      <w:r>
        <w:rPr>
          <w:rFonts w:hint="eastAsia" w:ascii="黑体" w:hAnsi="黑体" w:eastAsia="黑体" w:cs="黑体"/>
          <w:b w:val="0"/>
          <w:bCs/>
          <w:color w:val="auto"/>
          <w:sz w:val="32"/>
          <w:szCs w:val="32"/>
        </w:rPr>
        <w:t>评审工作程序</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供应商全权代表向磋商小组递交响应文件</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磋商小组审阅响应文件：</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磋商开始，与供应商</w:t>
      </w:r>
      <w:r>
        <w:rPr>
          <w:rFonts w:hint="eastAsia" w:ascii="仿宋" w:hAnsi="仿宋" w:eastAsia="仿宋" w:cs="仿宋"/>
          <w:color w:val="auto"/>
          <w:sz w:val="32"/>
          <w:szCs w:val="32"/>
          <w:lang w:val="en-US" w:eastAsia="zh-CN"/>
        </w:rPr>
        <w:t>洽</w:t>
      </w:r>
      <w:r>
        <w:rPr>
          <w:rFonts w:hint="eastAsia" w:ascii="仿宋" w:hAnsi="仿宋" w:eastAsia="仿宋" w:cs="仿宋"/>
          <w:color w:val="auto"/>
          <w:sz w:val="32"/>
          <w:szCs w:val="32"/>
        </w:rPr>
        <w:t>谈各项内容：</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磋商小组所有成员集中与单一供应商按照</w:t>
      </w:r>
      <w:r>
        <w:rPr>
          <w:rFonts w:hint="eastAsia" w:ascii="仿宋" w:hAnsi="仿宋" w:eastAsia="仿宋" w:cs="仿宋"/>
          <w:color w:val="auto"/>
          <w:sz w:val="32"/>
          <w:szCs w:val="32"/>
          <w:lang w:eastAsia="zh-CN"/>
        </w:rPr>
        <w:t>签到顺序</w:t>
      </w:r>
      <w:r>
        <w:rPr>
          <w:rFonts w:hint="eastAsia" w:ascii="仿宋" w:hAnsi="仿宋" w:eastAsia="仿宋" w:cs="仿宋"/>
          <w:color w:val="auto"/>
          <w:sz w:val="32"/>
          <w:szCs w:val="32"/>
        </w:rPr>
        <w:t>决定的磋商次序</w:t>
      </w:r>
      <w:r>
        <w:rPr>
          <w:rFonts w:hint="eastAsia" w:ascii="仿宋" w:hAnsi="仿宋" w:eastAsia="仿宋" w:cs="仿宋"/>
          <w:color w:val="auto"/>
          <w:sz w:val="32"/>
          <w:szCs w:val="32"/>
          <w:lang w:val="zh-CN"/>
        </w:rPr>
        <w:t>分别进行磋商。磋商小组可根据供应商的报价，响应内容及磋商的情况，给予每个正在参加磋商的供应商相同的机会。</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各供应商进行</w:t>
      </w:r>
      <w:r>
        <w:rPr>
          <w:rFonts w:hint="eastAsia" w:ascii="仿宋" w:hAnsi="仿宋" w:eastAsia="仿宋" w:cs="仿宋"/>
          <w:color w:val="auto"/>
          <w:sz w:val="32"/>
          <w:szCs w:val="32"/>
          <w:lang w:val="en-US" w:eastAsia="zh-CN"/>
        </w:rPr>
        <w:t>第二轮</w:t>
      </w:r>
      <w:r>
        <w:rPr>
          <w:rFonts w:hint="eastAsia" w:ascii="仿宋" w:hAnsi="仿宋" w:eastAsia="仿宋" w:cs="仿宋"/>
          <w:color w:val="auto"/>
          <w:sz w:val="32"/>
          <w:szCs w:val="32"/>
        </w:rPr>
        <w:t>报价：</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磋商结束后，参加磋商的供应商应当对磋商的承诺和最终报价以书面形式确认，并由全权代表签章。</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由磋商小组采用综合评分法对提交最后报价的供应商的响应文件和最后报价进行综合评分。</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确定成交供应商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采购人与成交供应商签订合同。</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九、</w:t>
      </w:r>
      <w:r>
        <w:rPr>
          <w:rFonts w:hint="eastAsia" w:ascii="黑体" w:hAnsi="黑体" w:eastAsia="黑体" w:cs="黑体"/>
          <w:b w:val="0"/>
          <w:bCs/>
          <w:color w:val="auto"/>
          <w:sz w:val="32"/>
          <w:szCs w:val="32"/>
        </w:rPr>
        <w:t>磋商内容</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采购项目的价格、规划方案及服务方案、其他条件等内容。</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w:t>
      </w:r>
      <w:r>
        <w:rPr>
          <w:rFonts w:hint="eastAsia" w:ascii="黑体" w:hAnsi="黑体" w:eastAsia="黑体" w:cs="黑体"/>
          <w:b w:val="0"/>
          <w:bCs/>
          <w:color w:val="auto"/>
          <w:sz w:val="32"/>
          <w:szCs w:val="32"/>
        </w:rPr>
        <w:t>评审原则与评审方法</w:t>
      </w:r>
    </w:p>
    <w:p>
      <w:pPr>
        <w:pStyle w:val="7"/>
        <w:keepNext w:val="0"/>
        <w:keepLines w:val="0"/>
        <w:pageBreakBefore w:val="0"/>
        <w:kinsoku/>
        <w:wordWrap/>
        <w:overflowPunct/>
        <w:topLinePunct w:val="0"/>
        <w:autoSpaceDE/>
        <w:autoSpaceDN/>
        <w:bidi w:val="0"/>
        <w:spacing w:line="58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评审原则</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7"/>
        <w:keepNext w:val="0"/>
        <w:keepLines w:val="0"/>
        <w:pageBreakBefore w:val="0"/>
        <w:numPr>
          <w:ilvl w:val="0"/>
          <w:numId w:val="3"/>
        </w:numPr>
        <w:kinsoku/>
        <w:wordWrap/>
        <w:overflowPunct/>
        <w:topLinePunct w:val="0"/>
        <w:autoSpaceDE/>
        <w:autoSpaceDN/>
        <w:bidi w:val="0"/>
        <w:spacing w:line="580" w:lineRule="exact"/>
        <w:ind w:firstLine="630" w:firstLineChars="196"/>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本次竞争性磋商采用综合评分法。</w:t>
      </w:r>
      <w:r>
        <w:rPr>
          <w:rFonts w:hint="eastAsia" w:ascii="仿宋" w:hAnsi="仿宋" w:eastAsia="仿宋" w:cs="仿宋"/>
          <w:b w:val="0"/>
          <w:bCs w:val="0"/>
          <w:color w:val="auto"/>
          <w:sz w:val="32"/>
          <w:szCs w:val="32"/>
        </w:rPr>
        <w:t>经评审的</w:t>
      </w:r>
      <w:r>
        <w:rPr>
          <w:rFonts w:hint="eastAsia" w:ascii="仿宋" w:hAnsi="仿宋" w:eastAsia="仿宋" w:cs="仿宋"/>
          <w:b w:val="0"/>
          <w:bCs w:val="0"/>
          <w:color w:val="auto"/>
          <w:sz w:val="32"/>
          <w:szCs w:val="32"/>
          <w:lang w:val="en-US" w:eastAsia="zh-CN"/>
        </w:rPr>
        <w:t>综合评选法，报价总分60分，综合情况总分40分，两者相加综合得分</w:t>
      </w:r>
      <w:r>
        <w:rPr>
          <w:rFonts w:hint="eastAsia" w:ascii="仿宋" w:hAnsi="仿宋" w:eastAsia="仿宋" w:cs="仿宋"/>
          <w:b w:val="0"/>
          <w:bCs w:val="0"/>
          <w:color w:val="auto"/>
          <w:sz w:val="32"/>
          <w:szCs w:val="32"/>
        </w:rPr>
        <w:t>最</w:t>
      </w:r>
      <w:r>
        <w:rPr>
          <w:rFonts w:hint="eastAsia" w:ascii="仿宋" w:hAnsi="仿宋" w:eastAsia="仿宋" w:cs="仿宋"/>
          <w:b w:val="0"/>
          <w:bCs w:val="0"/>
          <w:color w:val="auto"/>
          <w:sz w:val="32"/>
          <w:szCs w:val="32"/>
          <w:lang w:val="en-US" w:eastAsia="zh-CN"/>
        </w:rPr>
        <w:t>高</w:t>
      </w:r>
      <w:r>
        <w:rPr>
          <w:rFonts w:hint="eastAsia" w:ascii="仿宋" w:hAnsi="仿宋" w:eastAsia="仿宋" w:cs="仿宋"/>
          <w:b w:val="0"/>
          <w:bCs w:val="0"/>
          <w:color w:val="auto"/>
          <w:sz w:val="32"/>
          <w:szCs w:val="32"/>
        </w:rPr>
        <w:t>者中标。</w:t>
      </w:r>
      <w:r>
        <w:rPr>
          <w:rFonts w:hint="eastAsia" w:ascii="仿宋" w:hAnsi="仿宋" w:eastAsia="仿宋" w:cs="仿宋"/>
          <w:b w:val="0"/>
          <w:bCs/>
          <w:color w:val="auto"/>
          <w:sz w:val="32"/>
          <w:szCs w:val="32"/>
          <w:lang w:val="zh-CN"/>
        </w:rPr>
        <w:t>磋商小组应当根据综合评分情况编写评审报告。评审得分相同的，按照最后报价由低到高的顺序推荐。评审得分且最后报价相同的，按照技术指标优劣顺序推荐。</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7"/>
        <w:keepNext w:val="0"/>
        <w:keepLines w:val="0"/>
        <w:pageBreakBefore w:val="0"/>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评审标准</w:t>
      </w:r>
    </w:p>
    <w:p>
      <w:pPr>
        <w:keepNext w:val="0"/>
        <w:keepLines w:val="0"/>
        <w:pageBreakBefore w:val="0"/>
        <w:kinsoku/>
        <w:wordWrap/>
        <w:overflowPunct/>
        <w:topLinePunct w:val="0"/>
        <w:autoSpaceDE/>
        <w:autoSpaceDN/>
        <w:bidi w:val="0"/>
        <w:snapToGrid w:val="0"/>
        <w:spacing w:line="580" w:lineRule="exact"/>
        <w:ind w:firstLine="627" w:firstLineChars="196"/>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磋商小组成员按照客观、公正、谨慎的原则，根据磋商文件规定的评审程序、评审方法和评审标准进行独立评审。根据排名先后确定成交候选供应商</w:t>
      </w:r>
      <w:r>
        <w:rPr>
          <w:rFonts w:hint="eastAsia" w:ascii="仿宋" w:hAnsi="仿宋" w:eastAsia="仿宋" w:cs="仿宋"/>
          <w:color w:val="auto"/>
          <w:sz w:val="32"/>
          <w:szCs w:val="32"/>
          <w:lang w:eastAsia="zh-CN"/>
        </w:rPr>
        <w:t>：</w:t>
      </w:r>
    </w:p>
    <w:p>
      <w:pPr>
        <w:pStyle w:val="3"/>
        <w:tabs>
          <w:tab w:val="left" w:pos="600"/>
        </w:tabs>
        <w:spacing w:after="0"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综合评分明细表的制定以科学合理、降低</w:t>
      </w:r>
      <w:r>
        <w:rPr>
          <w:rFonts w:hint="eastAsia" w:ascii="仿宋" w:hAnsi="仿宋" w:eastAsia="仿宋" w:cs="仿宋"/>
          <w:sz w:val="32"/>
          <w:szCs w:val="32"/>
          <w:lang w:eastAsia="zh-CN"/>
        </w:rPr>
        <w:t>磋商小组</w:t>
      </w:r>
      <w:r>
        <w:rPr>
          <w:rFonts w:hint="eastAsia" w:ascii="仿宋" w:hAnsi="仿宋" w:eastAsia="仿宋" w:cs="仿宋"/>
          <w:sz w:val="32"/>
          <w:szCs w:val="32"/>
        </w:rPr>
        <w:t>自由裁量权为原则。</w:t>
      </w:r>
    </w:p>
    <w:p>
      <w:pPr>
        <w:widowControl/>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rPr>
        <w:t>2、以开标日当天信用中国官方网站记录为准对记入诚信档案的且在有效期内的失信供应商，在本次采购活动中实行直接从总分中扣分的惩戒方法，且供应商失信行为惩戒实行无限制累加制。存在一次失信行为的，扣3分，每增加一次失信行为，加扣3分，直至扣完为止。</w:t>
      </w:r>
    </w:p>
    <w:p>
      <w:pPr>
        <w:keepNext w:val="0"/>
        <w:keepLines w:val="0"/>
        <w:pageBreakBefore w:val="0"/>
        <w:kinsoku/>
        <w:wordWrap/>
        <w:overflowPunct/>
        <w:topLinePunct w:val="0"/>
        <w:autoSpaceDE/>
        <w:autoSpaceDN/>
        <w:bidi w:val="0"/>
        <w:snapToGrid w:val="0"/>
        <w:spacing w:line="58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本次磋商采购评审标准为100分制，具体评审标准如下：</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总评分标准</w:t>
      </w:r>
    </w:p>
    <w:tbl>
      <w:tblPr>
        <w:tblStyle w:val="10"/>
        <w:tblW w:w="10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971"/>
        <w:gridCol w:w="882"/>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314"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评分项目</w:t>
            </w:r>
          </w:p>
        </w:tc>
        <w:tc>
          <w:tcPr>
            <w:tcW w:w="971"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权重</w:t>
            </w:r>
          </w:p>
        </w:tc>
        <w:tc>
          <w:tcPr>
            <w:tcW w:w="882"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分值</w:t>
            </w:r>
          </w:p>
        </w:tc>
        <w:tc>
          <w:tcPr>
            <w:tcW w:w="7078"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314"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磋商报价</w:t>
            </w:r>
          </w:p>
        </w:tc>
        <w:tc>
          <w:tcPr>
            <w:tcW w:w="971"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60%</w:t>
            </w:r>
          </w:p>
        </w:tc>
        <w:tc>
          <w:tcPr>
            <w:tcW w:w="882"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60</w:t>
            </w:r>
          </w:p>
        </w:tc>
        <w:tc>
          <w:tcPr>
            <w:tcW w:w="7078"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（磋商基准价/最后磋商报价）×</w:t>
            </w:r>
            <w:r>
              <w:rPr>
                <w:rFonts w:hint="eastAsia" w:ascii="仿宋" w:hAnsi="仿宋" w:eastAsia="仿宋" w:cs="仿宋"/>
                <w:b w:val="0"/>
                <w:bCs/>
                <w:color w:val="auto"/>
                <w:sz w:val="24"/>
                <w:szCs w:val="24"/>
                <w:lang w:val="en-US" w:eastAsia="zh-CN"/>
              </w:rPr>
              <w:t>60</w:t>
            </w:r>
            <w:r>
              <w:rPr>
                <w:rFonts w:hint="eastAsia" w:ascii="仿宋" w:hAnsi="仿宋" w:eastAsia="仿宋" w:cs="仿宋"/>
                <w:b w:val="0"/>
                <w:bCs/>
                <w:color w:val="auto"/>
                <w:sz w:val="24"/>
                <w:szCs w:val="24"/>
              </w:rPr>
              <w:t>（得分保留两位小数）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1314"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综合情况</w:t>
            </w:r>
          </w:p>
        </w:tc>
        <w:tc>
          <w:tcPr>
            <w:tcW w:w="971"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40%</w:t>
            </w:r>
          </w:p>
        </w:tc>
        <w:tc>
          <w:tcPr>
            <w:tcW w:w="882"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default"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40</w:t>
            </w:r>
          </w:p>
        </w:tc>
        <w:tc>
          <w:tcPr>
            <w:tcW w:w="7078" w:type="dxa"/>
            <w:vAlign w:val="center"/>
          </w:tcPr>
          <w:p>
            <w:pPr>
              <w:pStyle w:val="7"/>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lang w:val="en-US" w:eastAsia="zh-CN"/>
              </w:rPr>
              <w:t>投标公司的</w:t>
            </w:r>
            <w:r>
              <w:rPr>
                <w:rFonts w:hint="eastAsia" w:ascii="仿宋" w:hAnsi="仿宋" w:eastAsia="仿宋" w:cs="仿宋"/>
                <w:b w:val="0"/>
                <w:bCs/>
                <w:color w:val="auto"/>
                <w:sz w:val="24"/>
                <w:szCs w:val="24"/>
              </w:rPr>
              <w:t>单位概况、综合实力、资质荣誉</w:t>
            </w:r>
            <w:r>
              <w:rPr>
                <w:rFonts w:hint="eastAsia" w:ascii="仿宋" w:hAnsi="仿宋" w:eastAsia="仿宋" w:cs="仿宋"/>
                <w:b w:val="0"/>
                <w:bCs/>
                <w:color w:val="auto"/>
                <w:sz w:val="24"/>
                <w:szCs w:val="24"/>
                <w:lang w:val="en-US" w:eastAsia="zh-CN"/>
              </w:rPr>
              <w:t>以及对项目质量保证和服务承诺、人员配置情况</w:t>
            </w:r>
            <w:r>
              <w:rPr>
                <w:rFonts w:hint="eastAsia" w:ascii="仿宋" w:hAnsi="仿宋" w:eastAsia="仿宋" w:cs="仿宋"/>
                <w:b w:val="0"/>
                <w:bCs/>
                <w:color w:val="auto"/>
                <w:sz w:val="24"/>
                <w:szCs w:val="24"/>
              </w:rPr>
              <w:t>等</w:t>
            </w:r>
          </w:p>
        </w:tc>
      </w:tr>
    </w:tbl>
    <w:p>
      <w:pPr>
        <w:pStyle w:val="7"/>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b w:val="0"/>
          <w:bCs/>
          <w:color w:val="auto"/>
          <w:sz w:val="24"/>
          <w:szCs w:val="24"/>
          <w:lang w:val="en-US" w:eastAsia="zh-CN"/>
        </w:rPr>
      </w:pPr>
    </w:p>
    <w:p>
      <w:pPr>
        <w:pStyle w:val="7"/>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b w:val="0"/>
          <w:bCs/>
          <w:color w:val="auto"/>
          <w:sz w:val="24"/>
          <w:szCs w:val="24"/>
          <w:lang w:val="en-US" w:eastAsia="zh-CN"/>
        </w:rPr>
      </w:pPr>
    </w:p>
    <w:p>
      <w:pPr>
        <w:pStyle w:val="7"/>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b w:val="0"/>
          <w:bCs/>
          <w:color w:val="auto"/>
          <w:sz w:val="24"/>
          <w:szCs w:val="24"/>
          <w:lang w:val="en-US" w:eastAsia="zh-CN"/>
        </w:rPr>
      </w:pPr>
    </w:p>
    <w:p>
      <w:pPr>
        <w:pStyle w:val="7"/>
        <w:keepNext w:val="0"/>
        <w:keepLines w:val="0"/>
        <w:pageBreakBefore w:val="0"/>
        <w:kinsoku/>
        <w:wordWrap/>
        <w:overflowPunct/>
        <w:topLinePunct w:val="0"/>
        <w:autoSpaceDE/>
        <w:autoSpaceDN/>
        <w:bidi w:val="0"/>
        <w:spacing w:line="580" w:lineRule="exact"/>
        <w:jc w:val="center"/>
        <w:textAlignment w:val="auto"/>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评分标准</w:t>
      </w:r>
    </w:p>
    <w:tbl>
      <w:tblPr>
        <w:tblStyle w:val="9"/>
        <w:tblW w:w="10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5"/>
        <w:gridCol w:w="485"/>
        <w:gridCol w:w="2121"/>
        <w:gridCol w:w="535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b/>
                <w:sz w:val="24"/>
              </w:rPr>
            </w:pPr>
            <w:r>
              <w:rPr>
                <w:rFonts w:hint="eastAsia" w:ascii="宋体" w:hAnsi="宋体" w:cs="仿宋_GB2312"/>
                <w:b/>
                <w:sz w:val="24"/>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sz w:val="24"/>
              </w:rPr>
            </w:pPr>
            <w:r>
              <w:rPr>
                <w:rFonts w:hint="eastAsia" w:ascii="宋体" w:hAnsi="宋体" w:cs="仿宋_GB2312"/>
                <w:b/>
                <w:sz w:val="24"/>
              </w:rPr>
              <w:t>评分因素及权重</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sz w:val="24"/>
              </w:rPr>
            </w:pPr>
            <w:r>
              <w:rPr>
                <w:rFonts w:hint="eastAsia" w:ascii="宋体" w:hAnsi="宋体" w:cs="仿宋_GB2312"/>
                <w:b/>
                <w:sz w:val="24"/>
              </w:rPr>
              <w:t>分值</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sz w:val="24"/>
              </w:rPr>
            </w:pPr>
            <w:r>
              <w:rPr>
                <w:rFonts w:hint="eastAsia" w:ascii="宋体" w:hAnsi="宋体" w:cs="仿宋_GB2312"/>
                <w:b/>
                <w:sz w:val="24"/>
              </w:rPr>
              <w:t>评分</w:t>
            </w:r>
            <w:r>
              <w:rPr>
                <w:rFonts w:ascii="宋体" w:hAnsi="宋体" w:cs="仿宋_GB2312"/>
                <w:b/>
                <w:sz w:val="24"/>
              </w:rPr>
              <w:t>标准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_GB2312"/>
                <w:b/>
                <w:sz w:val="24"/>
              </w:rPr>
            </w:pPr>
            <w:r>
              <w:rPr>
                <w:rFonts w:hint="eastAsia" w:ascii="宋体" w:hAnsi="宋体" w:cs="仿宋_GB2312"/>
                <w:b/>
                <w:sz w:val="24"/>
              </w:rPr>
              <w:t>评分</w:t>
            </w:r>
            <w:r>
              <w:rPr>
                <w:rFonts w:ascii="宋体" w:hAnsi="宋体" w:cs="仿宋_GB2312"/>
                <w:b/>
                <w:sz w:val="24"/>
              </w:rPr>
              <w:t>因素</w:t>
            </w:r>
            <w:r>
              <w:rPr>
                <w:rFonts w:hint="eastAsia" w:ascii="宋体" w:hAnsi="宋体" w:cs="仿宋_GB2312"/>
                <w:b/>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tabs>
                <w:tab w:val="center" w:pos="66"/>
              </w:tabs>
              <w:jc w:val="center"/>
              <w:rPr>
                <w:szCs w:val="21"/>
              </w:rPr>
            </w:pPr>
            <w:r>
              <w:rPr>
                <w:rFonts w:hint="eastAsia"/>
                <w:szCs w:val="21"/>
              </w:rPr>
              <w:t>1</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rFonts w:hint="eastAsia"/>
                <w:szCs w:val="21"/>
              </w:rPr>
              <w:t>报价（</w:t>
            </w:r>
            <w:r>
              <w:rPr>
                <w:rFonts w:hint="eastAsia"/>
                <w:szCs w:val="21"/>
                <w:lang w:val="en-US" w:eastAsia="zh-CN"/>
              </w:rPr>
              <w:t>60</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szCs w:val="21"/>
              </w:rPr>
            </w:pPr>
            <w:r>
              <w:rPr>
                <w:rFonts w:hint="eastAsia"/>
                <w:szCs w:val="21"/>
                <w:lang w:val="en-US" w:eastAsia="zh-CN"/>
              </w:rPr>
              <w:t>60</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4"/>
              </w:numPr>
              <w:jc w:val="center"/>
              <w:rPr>
                <w:szCs w:val="21"/>
              </w:rPr>
            </w:pPr>
            <w:r>
              <w:rPr>
                <w:rFonts w:hint="eastAsia"/>
                <w:szCs w:val="21"/>
              </w:rPr>
              <w:t>以本次所有投标供应商中的最低报价为评标基准价，投标报价得分=(评标基准价／投标报价)×报价权重×100，计算结果四舍五入保留2位小数。</w:t>
            </w:r>
          </w:p>
          <w:p>
            <w:pPr>
              <w:numPr>
                <w:ilvl w:val="0"/>
                <w:numId w:val="4"/>
              </w:numPr>
              <w:jc w:val="center"/>
              <w:rPr>
                <w:szCs w:val="21"/>
              </w:rPr>
            </w:pPr>
            <w:r>
              <w:rPr>
                <w:rFonts w:hint="eastAsia"/>
                <w:szCs w:val="21"/>
              </w:rPr>
              <w:t>报价超过本项目最高限价的不得分。</w:t>
            </w:r>
          </w:p>
          <w:p>
            <w:pPr>
              <w:jc w:val="center"/>
              <w:rPr>
                <w:rFonts w:hint="eastAsia"/>
                <w:szCs w:val="21"/>
              </w:rPr>
            </w:pPr>
            <w:r>
              <w:rPr>
                <w:rFonts w:hint="eastAsia"/>
                <w:szCs w:val="21"/>
              </w:rPr>
              <w:t>3、参照四川省政府采购评审工作规程（修订）》“第三十一条 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不能提供的本项目得零分。</w:t>
            </w:r>
          </w:p>
        </w:tc>
        <w:tc>
          <w:tcPr>
            <w:tcW w:w="1063" w:type="dxa"/>
            <w:tcBorders>
              <w:left w:val="single" w:color="auto" w:sz="4" w:space="0"/>
              <w:bottom w:val="single" w:color="auto" w:sz="4" w:space="0"/>
              <w:right w:val="single" w:color="auto" w:sz="4" w:space="0"/>
            </w:tcBorders>
            <w:noWrap w:val="0"/>
            <w:vAlign w:val="top"/>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rFonts w:hint="eastAsia"/>
                <w:szCs w:val="21"/>
              </w:rPr>
            </w:pPr>
            <w:r>
              <w:rPr>
                <w:rFonts w:hint="eastAsia"/>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设施设备及从业人员</w:t>
            </w:r>
          </w:p>
          <w:p>
            <w:pPr>
              <w:jc w:val="center"/>
              <w:rPr>
                <w:szCs w:val="21"/>
              </w:rPr>
            </w:pPr>
            <w:r>
              <w:rPr>
                <w:rFonts w:hint="eastAsia"/>
                <w:szCs w:val="21"/>
              </w:rPr>
              <w:t>（</w:t>
            </w:r>
            <w:r>
              <w:rPr>
                <w:rFonts w:hint="eastAsia"/>
                <w:szCs w:val="21"/>
                <w:lang w:val="en-US" w:eastAsia="zh-CN"/>
              </w:rPr>
              <w:t>8</w:t>
            </w:r>
            <w:r>
              <w:rPr>
                <w:szCs w:val="21"/>
              </w:rPr>
              <w:t>%</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val="en-US" w:eastAsia="zh-CN"/>
              </w:rPr>
              <w:t>8</w:t>
            </w:r>
            <w:r>
              <w:rPr>
                <w:rFonts w:hint="eastAsia"/>
                <w:szCs w:val="21"/>
              </w:rPr>
              <w:t>分</w:t>
            </w:r>
          </w:p>
        </w:tc>
        <w:tc>
          <w:tcPr>
            <w:tcW w:w="212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设备状况</w:t>
            </w:r>
            <w:r>
              <w:rPr>
                <w:szCs w:val="21"/>
              </w:rPr>
              <w:t>4</w:t>
            </w:r>
            <w:r>
              <w:rPr>
                <w:rFonts w:hint="eastAsia"/>
                <w:szCs w:val="21"/>
              </w:rPr>
              <w:t>分；从业人员数量、资格</w:t>
            </w:r>
            <w:r>
              <w:rPr>
                <w:szCs w:val="21"/>
              </w:rPr>
              <w:t>4</w:t>
            </w:r>
            <w:r>
              <w:rPr>
                <w:rFonts w:hint="eastAsia"/>
                <w:szCs w:val="21"/>
              </w:rPr>
              <w:t>分</w:t>
            </w:r>
          </w:p>
        </w:tc>
        <w:tc>
          <w:tcPr>
            <w:tcW w:w="535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根据供应商提供的生产及维修设备情况、检测设备、辅助维修设备情况等进行综合比较打分，最优得</w:t>
            </w:r>
            <w:r>
              <w:rPr>
                <w:szCs w:val="21"/>
              </w:rPr>
              <w:t>4</w:t>
            </w:r>
            <w:r>
              <w:rPr>
                <w:rFonts w:hint="eastAsia"/>
                <w:szCs w:val="21"/>
              </w:rPr>
              <w:t>分，依次递减</w:t>
            </w:r>
            <w:r>
              <w:rPr>
                <w:szCs w:val="21"/>
              </w:rPr>
              <w:t>1</w:t>
            </w:r>
            <w:r>
              <w:rPr>
                <w:rFonts w:hint="eastAsia"/>
                <w:szCs w:val="21"/>
              </w:rPr>
              <w:t>分</w:t>
            </w:r>
            <w:r>
              <w:rPr>
                <w:szCs w:val="21"/>
              </w:rPr>
              <w:t>，可并列</w:t>
            </w:r>
            <w:r>
              <w:rPr>
                <w:rFonts w:hint="eastAsia"/>
                <w:szCs w:val="21"/>
              </w:rPr>
              <w:t>，未提供设备清单及照片的不得分。（提供设备清单及照片）。</w:t>
            </w:r>
          </w:p>
          <w:p>
            <w:pPr>
              <w:jc w:val="center"/>
              <w:rPr>
                <w:szCs w:val="21"/>
              </w:rPr>
            </w:pPr>
            <w:r>
              <w:rPr>
                <w:rFonts w:hint="eastAsia"/>
                <w:szCs w:val="21"/>
              </w:rPr>
              <w:t>根据主要管理人员及从业人员的数量、资历和汽车维修的技术能力等方面进行综合分析评分（附人员名单、职业资格证书复印件及最近3个月内社保缴纳证明），最</w:t>
            </w:r>
            <w:r>
              <w:rPr>
                <w:szCs w:val="21"/>
              </w:rPr>
              <w:t>优</w:t>
            </w:r>
            <w:r>
              <w:rPr>
                <w:rFonts w:hint="eastAsia"/>
                <w:szCs w:val="21"/>
              </w:rPr>
              <w:t>得</w:t>
            </w:r>
            <w:r>
              <w:rPr>
                <w:rFonts w:hint="eastAsia"/>
                <w:szCs w:val="21"/>
                <w:lang w:val="en-US" w:eastAsia="zh-CN"/>
              </w:rPr>
              <w:t>4</w:t>
            </w:r>
            <w:r>
              <w:rPr>
                <w:rFonts w:hint="eastAsia"/>
                <w:szCs w:val="21"/>
              </w:rPr>
              <w:t>分，依次递减</w:t>
            </w:r>
            <w:r>
              <w:rPr>
                <w:szCs w:val="21"/>
              </w:rPr>
              <w:t>1</w:t>
            </w:r>
            <w:r>
              <w:rPr>
                <w:rFonts w:hint="eastAsia"/>
                <w:szCs w:val="21"/>
              </w:rPr>
              <w:t>分，</w:t>
            </w:r>
            <w:r>
              <w:rPr>
                <w:szCs w:val="21"/>
              </w:rPr>
              <w:t>可并列，</w:t>
            </w:r>
            <w:r>
              <w:rPr>
                <w:rFonts w:hint="eastAsia"/>
                <w:szCs w:val="21"/>
              </w:rPr>
              <w:t>未提供不</w:t>
            </w:r>
            <w:r>
              <w:rPr>
                <w:szCs w:val="21"/>
              </w:rPr>
              <w:t>得分</w:t>
            </w:r>
            <w:r>
              <w:rPr>
                <w:rFonts w:hint="eastAsia"/>
                <w:szCs w:val="21"/>
              </w:rPr>
              <w:t>。</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技术</w:t>
            </w:r>
            <w:r>
              <w:rPr>
                <w:rFonts w:ascii="宋体" w:hAnsi="宋体" w:cs="宋体"/>
                <w:kern w:val="0"/>
                <w:szCs w:val="21"/>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3</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质量保障措施（</w:t>
            </w:r>
            <w:r>
              <w:rPr>
                <w:rFonts w:hint="eastAsia"/>
                <w:szCs w:val="21"/>
                <w:lang w:val="en-US" w:eastAsia="zh-CN"/>
              </w:rPr>
              <w:t>4</w:t>
            </w:r>
            <w:r>
              <w:rPr>
                <w:szCs w:val="21"/>
              </w:rPr>
              <w:t>%</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both"/>
              <w:rPr>
                <w:szCs w:val="21"/>
              </w:rPr>
            </w:pPr>
            <w:r>
              <w:rPr>
                <w:rFonts w:hint="eastAsia"/>
                <w:szCs w:val="21"/>
                <w:lang w:val="en-US" w:eastAsia="zh-CN"/>
              </w:rPr>
              <w:t>4</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5"/>
              </w:numPr>
              <w:jc w:val="center"/>
              <w:rPr>
                <w:szCs w:val="21"/>
              </w:rPr>
            </w:pPr>
            <w:r>
              <w:rPr>
                <w:rFonts w:hint="eastAsia"/>
                <w:szCs w:val="21"/>
              </w:rPr>
              <w:t>根据供应商质量管理制度的建立情况、执行情况、设备的保养制度、返修处理等方面进行综合分析评分，最</w:t>
            </w:r>
            <w:r>
              <w:rPr>
                <w:szCs w:val="21"/>
              </w:rPr>
              <w:t>优</w:t>
            </w:r>
            <w:r>
              <w:rPr>
                <w:rFonts w:hint="eastAsia"/>
                <w:szCs w:val="21"/>
              </w:rPr>
              <w:t>得</w:t>
            </w:r>
            <w:r>
              <w:rPr>
                <w:rFonts w:hint="eastAsia"/>
                <w:szCs w:val="21"/>
                <w:lang w:val="en-US" w:eastAsia="zh-CN"/>
              </w:rPr>
              <w:t>2</w:t>
            </w:r>
            <w:r>
              <w:rPr>
                <w:rFonts w:hint="eastAsia"/>
                <w:szCs w:val="21"/>
              </w:rPr>
              <w:t>分，依次递减</w:t>
            </w:r>
            <w:r>
              <w:rPr>
                <w:szCs w:val="21"/>
              </w:rPr>
              <w:t>2</w:t>
            </w:r>
            <w:r>
              <w:rPr>
                <w:rFonts w:hint="eastAsia"/>
                <w:szCs w:val="21"/>
              </w:rPr>
              <w:t>分，</w:t>
            </w:r>
            <w:r>
              <w:rPr>
                <w:szCs w:val="21"/>
              </w:rPr>
              <w:t>可并列，</w:t>
            </w:r>
            <w:r>
              <w:rPr>
                <w:rFonts w:hint="eastAsia"/>
                <w:szCs w:val="21"/>
              </w:rPr>
              <w:t>无质量保障措施不得分。</w:t>
            </w:r>
          </w:p>
          <w:p>
            <w:pPr>
              <w:numPr>
                <w:ilvl w:val="0"/>
                <w:numId w:val="5"/>
              </w:numPr>
              <w:jc w:val="center"/>
              <w:rPr>
                <w:rFonts w:hint="eastAsia"/>
                <w:szCs w:val="21"/>
              </w:rPr>
            </w:pPr>
            <w:r>
              <w:rPr>
                <w:rFonts w:hint="eastAsia"/>
                <w:szCs w:val="21"/>
              </w:rPr>
              <w:t>根据供应商本次投标质保期打分，质保期最长的得</w:t>
            </w:r>
            <w:r>
              <w:rPr>
                <w:rFonts w:hint="eastAsia"/>
                <w:szCs w:val="21"/>
                <w:lang w:val="en-US" w:eastAsia="zh-CN"/>
              </w:rPr>
              <w:t>2</w:t>
            </w:r>
            <w:r>
              <w:rPr>
                <w:rFonts w:hint="eastAsia"/>
                <w:szCs w:val="21"/>
              </w:rPr>
              <w:t>分，依次递减1分，可并列，质保期低于1年或者2万公里的不得分。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技术</w:t>
            </w:r>
            <w:r>
              <w:rPr>
                <w:rFonts w:ascii="宋体" w:hAnsi="宋体" w:cs="宋体"/>
                <w:kern w:val="0"/>
                <w:szCs w:val="21"/>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4</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经营场所情况（</w:t>
            </w:r>
            <w:r>
              <w:rPr>
                <w:rFonts w:hint="eastAsia"/>
                <w:szCs w:val="21"/>
                <w:lang w:val="en-US" w:eastAsia="zh-CN"/>
              </w:rPr>
              <w:t>4</w:t>
            </w:r>
            <w:r>
              <w:rPr>
                <w:szCs w:val="21"/>
              </w:rPr>
              <w:t>%</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val="en-US" w:eastAsia="zh-CN"/>
              </w:rPr>
              <w:t>4</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r>
              <w:rPr>
                <w:rFonts w:hint="eastAsia"/>
                <w:szCs w:val="21"/>
              </w:rPr>
              <w:t>、根据供应商经营场地面积（含生产作业区域、停车面积等，附场地租赁合同，自有场地附产权证明）进行综合比较打分，最</w:t>
            </w:r>
            <w:r>
              <w:rPr>
                <w:szCs w:val="21"/>
              </w:rPr>
              <w:t>优</w:t>
            </w:r>
            <w:r>
              <w:rPr>
                <w:rFonts w:hint="eastAsia"/>
                <w:szCs w:val="21"/>
              </w:rPr>
              <w:t>得</w:t>
            </w:r>
            <w:r>
              <w:rPr>
                <w:rFonts w:hint="eastAsia"/>
                <w:szCs w:val="21"/>
                <w:lang w:val="en-US" w:eastAsia="zh-CN"/>
              </w:rPr>
              <w:t>2</w:t>
            </w:r>
            <w:r>
              <w:rPr>
                <w:rFonts w:hint="eastAsia"/>
                <w:szCs w:val="21"/>
              </w:rPr>
              <w:t>分，依次递减</w:t>
            </w:r>
            <w:r>
              <w:rPr>
                <w:szCs w:val="21"/>
              </w:rPr>
              <w:t>1</w:t>
            </w:r>
            <w:r>
              <w:rPr>
                <w:rFonts w:hint="eastAsia"/>
                <w:szCs w:val="21"/>
              </w:rPr>
              <w:t>分，</w:t>
            </w:r>
            <w:r>
              <w:rPr>
                <w:szCs w:val="21"/>
              </w:rPr>
              <w:t>可并列</w:t>
            </w:r>
            <w:r>
              <w:rPr>
                <w:rFonts w:hint="eastAsia"/>
                <w:szCs w:val="21"/>
              </w:rPr>
              <w:t>。</w:t>
            </w:r>
          </w:p>
          <w:p>
            <w:pPr>
              <w:jc w:val="center"/>
              <w:rPr>
                <w:szCs w:val="21"/>
              </w:rPr>
            </w:pPr>
            <w:r>
              <w:rPr>
                <w:szCs w:val="21"/>
              </w:rPr>
              <w:t>2</w:t>
            </w:r>
            <w:r>
              <w:rPr>
                <w:rFonts w:hint="eastAsia"/>
                <w:szCs w:val="21"/>
              </w:rPr>
              <w:t>、根据企业内各作业区域平面布置（附布局图）的合理有序、有利于安全、文明生产等方面进行综合分析评分，最优得</w:t>
            </w:r>
            <w:r>
              <w:rPr>
                <w:rFonts w:hint="eastAsia"/>
                <w:szCs w:val="21"/>
                <w:lang w:val="en-US" w:eastAsia="zh-CN"/>
              </w:rPr>
              <w:t>2</w:t>
            </w:r>
            <w:r>
              <w:rPr>
                <w:rFonts w:hint="eastAsia"/>
                <w:szCs w:val="21"/>
              </w:rPr>
              <w:t>分，依次递减</w:t>
            </w:r>
            <w:r>
              <w:rPr>
                <w:szCs w:val="21"/>
              </w:rPr>
              <w:t>1</w:t>
            </w:r>
            <w:r>
              <w:rPr>
                <w:rFonts w:hint="eastAsia"/>
                <w:szCs w:val="21"/>
              </w:rPr>
              <w:t>分，可并列，影响安全、文明生产不得分。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技术</w:t>
            </w:r>
            <w:r>
              <w:rPr>
                <w:rFonts w:ascii="宋体" w:hAnsi="宋体" w:cs="宋体"/>
                <w:kern w:val="0"/>
                <w:szCs w:val="21"/>
              </w:rPr>
              <w:t>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5</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经营资质（</w:t>
            </w:r>
            <w:r>
              <w:rPr>
                <w:rFonts w:hint="eastAsia"/>
                <w:szCs w:val="21"/>
                <w:lang w:val="en-US" w:eastAsia="zh-CN"/>
              </w:rPr>
              <w:t>8</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val="en-US" w:eastAsia="zh-CN"/>
              </w:rPr>
              <w:t>8</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6"/>
              </w:numPr>
              <w:jc w:val="center"/>
              <w:rPr>
                <w:szCs w:val="21"/>
              </w:rPr>
            </w:pPr>
            <w:r>
              <w:rPr>
                <w:rFonts w:hint="eastAsia"/>
                <w:szCs w:val="21"/>
              </w:rPr>
              <w:t>供应商取得车辆销售服务相关活动G</w:t>
            </w:r>
            <w:r>
              <w:rPr>
                <w:szCs w:val="21"/>
              </w:rPr>
              <w:t>B/T19001-2016</w:t>
            </w:r>
            <w:r>
              <w:rPr>
                <w:rFonts w:hint="eastAsia"/>
                <w:szCs w:val="21"/>
              </w:rPr>
              <w:t>质量管理体系认证的得</w:t>
            </w:r>
            <w:r>
              <w:rPr>
                <w:rFonts w:hint="eastAsia"/>
                <w:szCs w:val="21"/>
                <w:lang w:val="en-US" w:eastAsia="zh-CN"/>
              </w:rPr>
              <w:t>2</w:t>
            </w:r>
            <w:r>
              <w:rPr>
                <w:rFonts w:hint="eastAsia"/>
                <w:szCs w:val="21"/>
              </w:rPr>
              <w:t>分，不具备的不得分。</w:t>
            </w:r>
          </w:p>
          <w:p>
            <w:pPr>
              <w:numPr>
                <w:ilvl w:val="0"/>
                <w:numId w:val="6"/>
              </w:numPr>
              <w:jc w:val="center"/>
              <w:rPr>
                <w:rFonts w:hint="eastAsia"/>
                <w:szCs w:val="21"/>
              </w:rPr>
            </w:pPr>
            <w:r>
              <w:rPr>
                <w:rFonts w:hint="eastAsia"/>
                <w:szCs w:val="21"/>
              </w:rPr>
              <w:t>供应商取得车辆销售服务相关活动GB/T</w:t>
            </w:r>
            <w:r>
              <w:rPr>
                <w:szCs w:val="21"/>
              </w:rPr>
              <w:t>24</w:t>
            </w:r>
            <w:r>
              <w:rPr>
                <w:rFonts w:hint="eastAsia"/>
                <w:szCs w:val="21"/>
              </w:rPr>
              <w:t>001-2016环境管理体系认证的得</w:t>
            </w:r>
            <w:r>
              <w:rPr>
                <w:rFonts w:hint="eastAsia"/>
                <w:szCs w:val="21"/>
                <w:lang w:val="en-US" w:eastAsia="zh-CN"/>
              </w:rPr>
              <w:t>2</w:t>
            </w:r>
            <w:r>
              <w:rPr>
                <w:rFonts w:hint="eastAsia"/>
                <w:szCs w:val="21"/>
              </w:rPr>
              <w:t>分，不具备的不得分。</w:t>
            </w:r>
          </w:p>
          <w:p>
            <w:pPr>
              <w:numPr>
                <w:ilvl w:val="0"/>
                <w:numId w:val="6"/>
              </w:numPr>
              <w:jc w:val="center"/>
              <w:rPr>
                <w:szCs w:val="21"/>
              </w:rPr>
            </w:pPr>
            <w:r>
              <w:rPr>
                <w:rFonts w:hint="eastAsia"/>
                <w:szCs w:val="21"/>
              </w:rPr>
              <w:t>供应商具备行业管理部门大型客车维修资质许可或备案的得</w:t>
            </w:r>
            <w:r>
              <w:rPr>
                <w:rFonts w:hint="eastAsia"/>
                <w:szCs w:val="21"/>
                <w:lang w:val="en-US" w:eastAsia="zh-CN"/>
              </w:rPr>
              <w:t>2</w:t>
            </w:r>
            <w:r>
              <w:rPr>
                <w:rFonts w:hint="eastAsia"/>
                <w:szCs w:val="21"/>
              </w:rPr>
              <w:t>分，不具备的不得分。</w:t>
            </w:r>
          </w:p>
          <w:p>
            <w:pPr>
              <w:numPr>
                <w:ilvl w:val="0"/>
                <w:numId w:val="6"/>
              </w:numPr>
              <w:jc w:val="center"/>
              <w:rPr>
                <w:rFonts w:hint="eastAsia"/>
                <w:szCs w:val="21"/>
              </w:rPr>
            </w:pPr>
            <w:r>
              <w:rPr>
                <w:rFonts w:hint="eastAsia"/>
                <w:szCs w:val="21"/>
              </w:rPr>
              <w:t>取得一汽丰田柯斯达厂家经营直接授权的得2分、间接授权的得1分。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6</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商业信誉</w:t>
            </w:r>
          </w:p>
          <w:p>
            <w:pPr>
              <w:jc w:val="center"/>
              <w:rPr>
                <w:szCs w:val="21"/>
              </w:rPr>
            </w:pPr>
            <w:r>
              <w:rPr>
                <w:rFonts w:hint="eastAsia"/>
                <w:szCs w:val="21"/>
              </w:rPr>
              <w:t>（</w:t>
            </w:r>
            <w:r>
              <w:rPr>
                <w:rFonts w:hint="eastAsia"/>
                <w:szCs w:val="21"/>
                <w:lang w:val="en-US" w:eastAsia="zh-CN"/>
              </w:rPr>
              <w:t>4</w:t>
            </w:r>
            <w:r>
              <w:rPr>
                <w:szCs w:val="21"/>
              </w:rPr>
              <w:t>%</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both"/>
              <w:rPr>
                <w:szCs w:val="21"/>
              </w:rPr>
            </w:pPr>
            <w:r>
              <w:rPr>
                <w:rFonts w:hint="eastAsia"/>
                <w:szCs w:val="21"/>
                <w:lang w:val="en-US" w:eastAsia="zh-CN"/>
              </w:rPr>
              <w:t>4</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7"/>
              </w:numPr>
              <w:jc w:val="center"/>
              <w:rPr>
                <w:szCs w:val="21"/>
              </w:rPr>
            </w:pPr>
            <w:r>
              <w:rPr>
                <w:rFonts w:hint="eastAsia"/>
                <w:szCs w:val="21"/>
              </w:rPr>
              <w:t>根据供应商信用报告（信用中国官方网站下载），近三年取得守信激励红榜信息的每条得2分，最高</w:t>
            </w:r>
            <w:r>
              <w:rPr>
                <w:rFonts w:hint="eastAsia"/>
                <w:szCs w:val="21"/>
                <w:lang w:val="en-US" w:eastAsia="zh-CN"/>
              </w:rPr>
              <w:t>2</w:t>
            </w:r>
            <w:r>
              <w:rPr>
                <w:rFonts w:hint="eastAsia"/>
                <w:szCs w:val="21"/>
              </w:rPr>
              <w:t>分。</w:t>
            </w:r>
          </w:p>
          <w:p>
            <w:pPr>
              <w:numPr>
                <w:ilvl w:val="0"/>
                <w:numId w:val="7"/>
              </w:numPr>
              <w:jc w:val="center"/>
              <w:rPr>
                <w:szCs w:val="21"/>
              </w:rPr>
            </w:pPr>
            <w:r>
              <w:rPr>
                <w:szCs w:val="21"/>
              </w:rPr>
              <w:t>2018</w:t>
            </w:r>
            <w:r>
              <w:rPr>
                <w:rFonts w:hint="eastAsia"/>
                <w:szCs w:val="21"/>
              </w:rPr>
              <w:t>-</w:t>
            </w:r>
            <w:r>
              <w:rPr>
                <w:szCs w:val="21"/>
              </w:rPr>
              <w:t>2021</w:t>
            </w:r>
            <w:r>
              <w:rPr>
                <w:rFonts w:hint="eastAsia"/>
                <w:szCs w:val="21"/>
              </w:rPr>
              <w:t>年度，获得党委政府、官方行业协会（地市级以上）表彰（提供相关表彰牌匾、证书、文件复印件或照片），一个表彰得</w:t>
            </w:r>
            <w:r>
              <w:rPr>
                <w:szCs w:val="21"/>
              </w:rPr>
              <w:t>2</w:t>
            </w:r>
            <w:r>
              <w:rPr>
                <w:rFonts w:hint="eastAsia"/>
                <w:szCs w:val="21"/>
              </w:rPr>
              <w:t>分，最高</w:t>
            </w:r>
            <w:r>
              <w:rPr>
                <w:rFonts w:hint="eastAsia"/>
                <w:szCs w:val="21"/>
                <w:lang w:val="en-US" w:eastAsia="zh-CN"/>
              </w:rPr>
              <w:t>2</w:t>
            </w:r>
            <w:r>
              <w:rPr>
                <w:rFonts w:hint="eastAsia"/>
                <w:szCs w:val="21"/>
              </w:rPr>
              <w:t>分。</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共</w:t>
            </w:r>
            <w:r>
              <w:rPr>
                <w:rFonts w:ascii="宋体" w:hAnsi="宋体" w:cs="宋体"/>
                <w:kern w:val="0"/>
                <w:szCs w:val="21"/>
              </w:rPr>
              <w:t>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3"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7</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安全与环保</w:t>
            </w:r>
          </w:p>
          <w:p>
            <w:pPr>
              <w:jc w:val="center"/>
              <w:rPr>
                <w:szCs w:val="21"/>
              </w:rPr>
            </w:pPr>
            <w:r>
              <w:rPr>
                <w:rFonts w:hint="eastAsia"/>
                <w:szCs w:val="21"/>
              </w:rPr>
              <w:t>（</w:t>
            </w:r>
            <w:r>
              <w:rPr>
                <w:rFonts w:hint="eastAsia"/>
                <w:szCs w:val="21"/>
                <w:lang w:val="en-US" w:eastAsia="zh-CN"/>
              </w:rPr>
              <w:t>4</w:t>
            </w:r>
            <w:r>
              <w:rPr>
                <w:szCs w:val="21"/>
              </w:rPr>
              <w:t>%</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val="en-US" w:eastAsia="zh-CN"/>
              </w:rPr>
              <w:t>4</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r>
              <w:rPr>
                <w:rFonts w:hint="eastAsia"/>
                <w:szCs w:val="21"/>
              </w:rPr>
              <w:t>、在当地生态环境部门进行了环境影响备案；</w:t>
            </w:r>
          </w:p>
          <w:p>
            <w:pPr>
              <w:jc w:val="center"/>
              <w:rPr>
                <w:szCs w:val="21"/>
              </w:rPr>
            </w:pPr>
            <w:r>
              <w:rPr>
                <w:szCs w:val="21"/>
              </w:rPr>
              <w:t>2</w:t>
            </w:r>
            <w:r>
              <w:rPr>
                <w:rFonts w:hint="eastAsia"/>
                <w:szCs w:val="21"/>
              </w:rPr>
              <w:t>、危险废物无害化处理技术服务协议书；</w:t>
            </w:r>
          </w:p>
          <w:p>
            <w:pPr>
              <w:jc w:val="center"/>
              <w:rPr>
                <w:rFonts w:hint="eastAsia"/>
                <w:szCs w:val="21"/>
              </w:rPr>
            </w:pPr>
            <w:r>
              <w:rPr>
                <w:rFonts w:hint="eastAsia"/>
                <w:szCs w:val="21"/>
              </w:rPr>
              <w:t>3、污水废水排放许可证；</w:t>
            </w:r>
          </w:p>
          <w:p>
            <w:pPr>
              <w:jc w:val="center"/>
              <w:rPr>
                <w:rFonts w:hint="eastAsia"/>
                <w:szCs w:val="21"/>
              </w:rPr>
            </w:pPr>
            <w:r>
              <w:rPr>
                <w:szCs w:val="21"/>
              </w:rPr>
              <w:t>4</w:t>
            </w:r>
            <w:r>
              <w:rPr>
                <w:rFonts w:hint="eastAsia"/>
                <w:szCs w:val="21"/>
              </w:rPr>
              <w:t>、机动车维修或加改装作业安全生产标准化三级（含）以上达标。</w:t>
            </w:r>
          </w:p>
          <w:p>
            <w:pPr>
              <w:jc w:val="center"/>
              <w:rPr>
                <w:szCs w:val="21"/>
              </w:rPr>
            </w:pPr>
            <w:r>
              <w:rPr>
                <w:rFonts w:hint="eastAsia"/>
                <w:szCs w:val="21"/>
              </w:rPr>
              <w:t>以上</w:t>
            </w:r>
            <w:r>
              <w:rPr>
                <w:szCs w:val="21"/>
              </w:rPr>
              <w:t>4</w:t>
            </w:r>
            <w:r>
              <w:rPr>
                <w:rFonts w:hint="eastAsia"/>
                <w:szCs w:val="21"/>
              </w:rPr>
              <w:t>项（需附复印件加盖鲜章）每项</w:t>
            </w:r>
            <w:r>
              <w:rPr>
                <w:rFonts w:hint="eastAsia"/>
                <w:szCs w:val="21"/>
                <w:lang w:val="en-US" w:eastAsia="zh-CN"/>
              </w:rPr>
              <w:t>1</w:t>
            </w:r>
            <w:r>
              <w:rPr>
                <w:rFonts w:hint="eastAsia"/>
                <w:szCs w:val="21"/>
              </w:rPr>
              <w:t>分</w:t>
            </w:r>
          </w:p>
        </w:tc>
        <w:tc>
          <w:tcPr>
            <w:tcW w:w="1063" w:type="dxa"/>
            <w:tcBorders>
              <w:top w:val="single" w:color="auto" w:sz="4" w:space="0"/>
              <w:left w:val="single" w:color="auto" w:sz="4" w:space="0"/>
              <w:bottom w:val="single" w:color="auto" w:sz="4" w:space="0"/>
              <w:right w:val="single" w:color="auto" w:sz="4" w:space="0"/>
            </w:tcBorders>
            <w:noWrap w:val="0"/>
            <w:vAlign w:val="top"/>
          </w:tcPr>
          <w:p>
            <w:pPr>
              <w:ind w:firstLine="840" w:firstLineChars="400"/>
              <w:jc w:val="center"/>
              <w:rPr>
                <w:szCs w:val="21"/>
              </w:rPr>
            </w:pPr>
            <w:r>
              <w:rPr>
                <w:rFonts w:hint="eastAsia" w:ascii="宋体" w:hAnsi="宋体" w:cs="宋体"/>
                <w:kern w:val="0"/>
                <w:szCs w:val="21"/>
              </w:rPr>
              <w:t>共</w:t>
            </w:r>
            <w:r>
              <w:rPr>
                <w:rFonts w:ascii="宋体" w:hAnsi="宋体" w:cs="宋体"/>
                <w:kern w:val="0"/>
                <w:szCs w:val="21"/>
              </w:rPr>
              <w:t>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8</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服务经验</w:t>
            </w:r>
          </w:p>
          <w:p>
            <w:pPr>
              <w:jc w:val="center"/>
              <w:rPr>
                <w:szCs w:val="21"/>
              </w:rPr>
            </w:pPr>
            <w:r>
              <w:rPr>
                <w:rFonts w:hint="eastAsia"/>
                <w:szCs w:val="21"/>
              </w:rPr>
              <w:t>（</w:t>
            </w:r>
            <w:r>
              <w:rPr>
                <w:szCs w:val="21"/>
              </w:rPr>
              <w:t>6%</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6</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供应商</w:t>
            </w:r>
            <w:r>
              <w:rPr>
                <w:szCs w:val="21"/>
              </w:rPr>
              <w:t>近三年</w:t>
            </w:r>
            <w:r>
              <w:rPr>
                <w:rFonts w:hint="eastAsia"/>
                <w:szCs w:val="21"/>
              </w:rPr>
              <w:t>来</w:t>
            </w:r>
            <w:r>
              <w:rPr>
                <w:szCs w:val="21"/>
              </w:rPr>
              <w:t>的</w:t>
            </w:r>
            <w:r>
              <w:rPr>
                <w:rFonts w:hint="eastAsia"/>
                <w:szCs w:val="21"/>
              </w:rPr>
              <w:t>类似</w:t>
            </w:r>
            <w:r>
              <w:rPr>
                <w:szCs w:val="21"/>
              </w:rPr>
              <w:t>业绩，</w:t>
            </w:r>
            <w:r>
              <w:rPr>
                <w:rFonts w:hint="eastAsia"/>
                <w:szCs w:val="21"/>
              </w:rPr>
              <w:t>提供参与绵阳市内政府部门、大型国有企事业单位整车、维修或车辆加改装的中标证明（或合同），每一业绩记2分，最高</w:t>
            </w:r>
            <w:r>
              <w:rPr>
                <w:szCs w:val="21"/>
              </w:rPr>
              <w:t>6</w:t>
            </w:r>
            <w:r>
              <w:rPr>
                <w:rFonts w:hint="eastAsia"/>
                <w:szCs w:val="21"/>
              </w:rPr>
              <w:t>分。</w:t>
            </w:r>
          </w:p>
        </w:tc>
        <w:tc>
          <w:tcPr>
            <w:tcW w:w="10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Cs w:val="21"/>
              </w:rPr>
            </w:pPr>
            <w:r>
              <w:rPr>
                <w:rFonts w:hint="eastAsia" w:ascii="宋体" w:hAnsi="宋体" w:cs="宋体"/>
                <w:kern w:val="0"/>
                <w:szCs w:val="21"/>
              </w:rPr>
              <w:t>共</w:t>
            </w:r>
            <w:r>
              <w:rPr>
                <w:rFonts w:ascii="宋体" w:hAnsi="宋体" w:cs="宋体"/>
                <w:kern w:val="0"/>
                <w:szCs w:val="21"/>
              </w:rPr>
              <w:t>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9</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交货期限（</w:t>
            </w:r>
            <w:r>
              <w:rPr>
                <w:rFonts w:hint="eastAsia"/>
                <w:szCs w:val="21"/>
                <w:lang w:val="en-US" w:eastAsia="zh-CN"/>
              </w:rPr>
              <w:t>1</w:t>
            </w:r>
            <w:r>
              <w:rPr>
                <w:rFonts w:hint="eastAsia"/>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lang w:val="en-US" w:eastAsia="zh-CN"/>
              </w:rPr>
              <w:t>1</w:t>
            </w:r>
            <w:r>
              <w:rPr>
                <w:rFonts w:hint="eastAsia"/>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交货时间最短的供应商得</w:t>
            </w:r>
            <w:r>
              <w:rPr>
                <w:rFonts w:hint="eastAsia"/>
                <w:szCs w:val="21"/>
                <w:lang w:val="en-US" w:eastAsia="zh-CN"/>
              </w:rPr>
              <w:t>1</w:t>
            </w:r>
            <w:r>
              <w:rPr>
                <w:rFonts w:hint="eastAsia"/>
                <w:szCs w:val="21"/>
              </w:rPr>
              <w:t>分，依次递减0</w:t>
            </w:r>
            <w:r>
              <w:rPr>
                <w:szCs w:val="21"/>
              </w:rPr>
              <w:t>.5</w:t>
            </w:r>
            <w:r>
              <w:rPr>
                <w:rFonts w:hint="eastAsia"/>
                <w:szCs w:val="21"/>
              </w:rPr>
              <w:t>分，可并列。</w:t>
            </w:r>
          </w:p>
        </w:tc>
        <w:tc>
          <w:tcPr>
            <w:tcW w:w="106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bCs/>
                <w:color w:val="000000"/>
                <w:szCs w:val="21"/>
              </w:rPr>
            </w:pPr>
            <w:r>
              <w:rPr>
                <w:rFonts w:hint="eastAsia" w:ascii="宋体" w:hAnsi="宋体"/>
                <w:bCs/>
                <w:color w:val="000000"/>
                <w:szCs w:val="21"/>
              </w:rPr>
              <w:t>投标文件的规范性(</w:t>
            </w:r>
            <w:r>
              <w:rPr>
                <w:rFonts w:ascii="宋体" w:hAnsi="宋体"/>
                <w:bCs/>
                <w:color w:val="000000"/>
                <w:szCs w:val="21"/>
              </w:rPr>
              <w:t>1</w:t>
            </w:r>
            <w:r>
              <w:rPr>
                <w:rFonts w:hint="eastAsia" w:ascii="宋体" w:hAnsi="宋体"/>
                <w:bCs/>
                <w:color w:val="000000"/>
                <w:szCs w:val="21"/>
              </w:rPr>
              <w:t>%</w:t>
            </w:r>
            <w:r>
              <w:rPr>
                <w:rFonts w:ascii="宋体" w:hAnsi="宋体"/>
                <w:bCs/>
                <w:color w:val="000000"/>
                <w:szCs w:val="21"/>
              </w:rPr>
              <w:t>)</w:t>
            </w:r>
          </w:p>
        </w:tc>
        <w:tc>
          <w:tcPr>
            <w:tcW w:w="4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bCs/>
                <w:color w:val="000000"/>
                <w:szCs w:val="21"/>
              </w:rPr>
            </w:pPr>
            <w:r>
              <w:rPr>
                <w:rFonts w:ascii="宋体" w:hAnsi="宋体"/>
                <w:bCs/>
                <w:color w:val="000000"/>
                <w:szCs w:val="21"/>
              </w:rPr>
              <w:t>1</w:t>
            </w:r>
            <w:r>
              <w:rPr>
                <w:rFonts w:hint="eastAsia" w:ascii="宋体" w:hAnsi="宋体"/>
                <w:bCs/>
                <w:color w:val="000000"/>
                <w:szCs w:val="21"/>
              </w:rPr>
              <w:t>分</w:t>
            </w:r>
          </w:p>
        </w:tc>
        <w:tc>
          <w:tcPr>
            <w:tcW w:w="7478"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Cs w:val="21"/>
              </w:rPr>
            </w:pPr>
            <w:r>
              <w:rPr>
                <w:rFonts w:hint="eastAsia" w:ascii="宋体" w:hAnsi="宋体"/>
                <w:color w:val="000000"/>
                <w:szCs w:val="21"/>
              </w:rPr>
              <w:t>投标文件制作规范，没有细微偏差情形的得</w:t>
            </w:r>
            <w:r>
              <w:rPr>
                <w:rFonts w:ascii="宋体" w:hAnsi="宋体"/>
                <w:color w:val="000000"/>
                <w:szCs w:val="21"/>
              </w:rPr>
              <w:t>1分；有一项细微偏差扣0.2分，直至该项分值扣完为止。</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Cs w:val="21"/>
              </w:rPr>
            </w:pPr>
            <w:r>
              <w:rPr>
                <w:rFonts w:hint="eastAsia" w:ascii="宋体" w:hAnsi="宋体"/>
                <w:color w:val="000000"/>
                <w:szCs w:val="21"/>
              </w:rPr>
              <w:t>共同评分因素</w:t>
            </w:r>
          </w:p>
        </w:tc>
      </w:tr>
    </w:tbl>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color w:val="auto"/>
          <w:kern w:val="2"/>
          <w:sz w:val="32"/>
          <w:szCs w:val="32"/>
          <w:lang w:val="en-US" w:eastAsia="zh-CN" w:bidi="ar-SA"/>
        </w:rPr>
      </w:pPr>
    </w:p>
    <w:p>
      <w:pPr>
        <w:pStyle w:val="7"/>
        <w:keepNext w:val="0"/>
        <w:keepLines w:val="0"/>
        <w:pageBreakBefore w:val="0"/>
        <w:kinsoku/>
        <w:wordWrap/>
        <w:overflowPunct/>
        <w:topLinePunct w:val="0"/>
        <w:autoSpaceDE/>
        <w:autoSpaceDN/>
        <w:bidi w:val="0"/>
        <w:spacing w:line="580" w:lineRule="exact"/>
        <w:ind w:left="-199" w:leftChars="-95" w:firstLine="515" w:firstLineChars="161"/>
        <w:textAlignment w:val="auto"/>
        <w:rPr>
          <w:rFonts w:hint="eastAsia" w:ascii="仿宋" w:hAnsi="仿宋" w:eastAsia="仿宋" w:cs="仿宋"/>
          <w:b w:val="0"/>
          <w:bCs/>
          <w:color w:val="auto"/>
          <w:sz w:val="32"/>
          <w:szCs w:val="32"/>
          <w:lang w:val="zh-CN"/>
        </w:rPr>
      </w:pPr>
      <w:r>
        <w:rPr>
          <w:rFonts w:hint="eastAsia" w:ascii="仿宋" w:hAnsi="仿宋" w:eastAsia="仿宋" w:cs="仿宋"/>
          <w:color w:val="auto"/>
          <w:kern w:val="2"/>
          <w:sz w:val="32"/>
          <w:szCs w:val="32"/>
          <w:lang w:val="en-US" w:eastAsia="zh-CN" w:bidi="ar-SA"/>
        </w:rPr>
        <w:t>以上内容，报价部分直接计算得分；其他部分由磋商小组在充分评议的基础上自行打分，计算出的平均得分为各供应商的评议得分；评议得分与报价分相加得到各供应商的汇总得分（得分四舍五入，保留2位小数）。按汇总分值由高到低进行排序，取得分最高者为成交供应商。若出现两家或两家以上的供应商综合得分均为最高分的情况，取报价低者为成交供应商；若报价也相同，</w:t>
      </w:r>
      <w:r>
        <w:rPr>
          <w:rFonts w:hint="eastAsia" w:ascii="仿宋" w:hAnsi="仿宋" w:eastAsia="仿宋" w:cs="仿宋"/>
          <w:color w:val="auto"/>
          <w:kern w:val="2"/>
          <w:sz w:val="32"/>
          <w:szCs w:val="32"/>
          <w:lang w:val="zh-CN" w:eastAsia="zh-CN" w:bidi="ar-SA"/>
        </w:rPr>
        <w:t>按照服务承诺部分得分高低顺序推荐；若服务承诺部分得分也相同，</w:t>
      </w:r>
      <w:r>
        <w:rPr>
          <w:rFonts w:hint="eastAsia" w:ascii="仿宋" w:hAnsi="仿宋" w:eastAsia="仿宋" w:cs="仿宋"/>
          <w:color w:val="auto"/>
          <w:kern w:val="2"/>
          <w:sz w:val="32"/>
          <w:szCs w:val="32"/>
          <w:lang w:val="en-US" w:eastAsia="zh-CN" w:bidi="ar-SA"/>
        </w:rPr>
        <w:t>由磋商小组投票决定成交供应商。</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十一、磋商小组</w:t>
      </w:r>
    </w:p>
    <w:p>
      <w:pPr>
        <w:pStyle w:val="7"/>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highlight w:val="none"/>
          <w:lang w:val="zh-CN" w:eastAsia="zh-CN" w:bidi="ar-SA"/>
        </w:rPr>
        <w:t>磋商小组：</w:t>
      </w:r>
      <w:r>
        <w:rPr>
          <w:rFonts w:hint="eastAsia" w:ascii="仿宋" w:hAnsi="仿宋" w:eastAsia="仿宋" w:cs="仿宋"/>
          <w:color w:val="auto"/>
          <w:kern w:val="2"/>
          <w:sz w:val="32"/>
          <w:szCs w:val="32"/>
          <w:highlight w:val="none"/>
          <w:lang w:val="en-US" w:eastAsia="zh-CN" w:bidi="ar-SA"/>
        </w:rPr>
        <w:t>行政管理部经理彭方于、经开分公司经理王飞、车辆技术部经理李斌、安全管理部经理赵思翔、运营管理部徐慧婷、财务部张晓敏、分公司车技科何珩；现场监督：公司监事周飞宇、纪检委员杜娟</w:t>
      </w:r>
      <w:r>
        <w:rPr>
          <w:rFonts w:hint="eastAsia" w:ascii="仿宋" w:hAnsi="仿宋" w:eastAsia="仿宋" w:cs="仿宋"/>
          <w:color w:val="auto"/>
          <w:kern w:val="2"/>
          <w:sz w:val="32"/>
          <w:szCs w:val="32"/>
          <w:lang w:val="zh-CN" w:eastAsia="zh-CN" w:bidi="ar-SA"/>
        </w:rPr>
        <w:t>。</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rPr>
        <w:t>磋商评审纪律</w:t>
      </w:r>
    </w:p>
    <w:p>
      <w:pPr>
        <w:pStyle w:val="7"/>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1、磋商小组成员</w:t>
      </w:r>
      <w:r>
        <w:rPr>
          <w:rFonts w:hint="eastAsia" w:ascii="仿宋" w:hAnsi="仿宋" w:eastAsia="仿宋" w:cs="仿宋"/>
          <w:color w:val="auto"/>
          <w:kern w:val="2"/>
          <w:sz w:val="32"/>
          <w:szCs w:val="32"/>
          <w:lang w:val="zh-CN" w:eastAsia="zh-CN" w:bidi="ar-SA"/>
        </w:rPr>
        <w:t>内部讨论的情况和意见必须保密，任何人不得以任何形式透露给供应商或与供应商有关的单位或个人；</w:t>
      </w:r>
    </w:p>
    <w:p>
      <w:pPr>
        <w:pStyle w:val="7"/>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kern w:val="2"/>
          <w:sz w:val="32"/>
          <w:szCs w:val="32"/>
          <w:lang w:val="zh-CN"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zh-CN" w:eastAsia="zh-CN" w:bidi="ar-SA"/>
        </w:rPr>
        <w:t>在磋商过程中，供应商不得以任何形式对磋商小组成员进行旨在影响磋商结果的私下接触，否则取消其磋商资格；</w:t>
      </w:r>
    </w:p>
    <w:p>
      <w:pPr>
        <w:pStyle w:val="7"/>
        <w:keepNext w:val="0"/>
        <w:keepLines w:val="0"/>
        <w:pageBreakBefore w:val="0"/>
        <w:numPr>
          <w:ilvl w:val="0"/>
          <w:numId w:val="0"/>
        </w:numPr>
        <w:kinsoku/>
        <w:wordWrap/>
        <w:overflowPunct/>
        <w:topLinePunct w:val="0"/>
        <w:autoSpaceDE/>
        <w:autoSpaceDN/>
        <w:bidi w:val="0"/>
        <w:spacing w:line="580" w:lineRule="exact"/>
        <w:ind w:left="-199" w:leftChars="-95" w:firstLine="835" w:firstLineChars="261"/>
        <w:textAlignment w:val="auto"/>
        <w:rPr>
          <w:rFonts w:hint="eastAsia" w:ascii="仿宋" w:hAnsi="仿宋" w:eastAsia="仿宋" w:cs="仿宋"/>
          <w:color w:val="auto"/>
          <w:sz w:val="32"/>
          <w:szCs w:val="32"/>
          <w:lang w:val="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zh-CN" w:eastAsia="zh-CN" w:bidi="ar-SA"/>
        </w:rPr>
        <w:t>磋商小组采用以及与磋商有关的人员应当对评审情况和评审过程中获悉的国家秘密、商业秘密予以保密。</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十三、</w:t>
      </w:r>
      <w:r>
        <w:rPr>
          <w:rFonts w:hint="eastAsia" w:ascii="黑体" w:hAnsi="黑体" w:eastAsia="黑体" w:cs="黑体"/>
          <w:b w:val="0"/>
          <w:bCs/>
          <w:color w:val="auto"/>
          <w:sz w:val="32"/>
          <w:szCs w:val="32"/>
        </w:rPr>
        <w:t>无效报价情况说明</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在规定的截止时间之后递交的；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未按采购文件规定要求密封、签署、盖章的；</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不具备采购文件中规定的资格要求的；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未全部响应采购文件规定的实质性要求的； </w:t>
      </w:r>
    </w:p>
    <w:p>
      <w:pPr>
        <w:keepNext w:val="0"/>
        <w:keepLines w:val="0"/>
        <w:pageBreakBefore w:val="0"/>
        <w:tabs>
          <w:tab w:val="center" w:pos="5181"/>
        </w:tabs>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不符合法律、法规规定的其他情形。</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十四、</w:t>
      </w:r>
      <w:r>
        <w:rPr>
          <w:rFonts w:hint="eastAsia" w:ascii="黑体" w:hAnsi="黑体" w:eastAsia="黑体" w:cs="黑体"/>
          <w:b w:val="0"/>
          <w:bCs/>
          <w:color w:val="auto"/>
          <w:sz w:val="32"/>
          <w:szCs w:val="32"/>
        </w:rPr>
        <w:t>对响应文件的修正</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磋商时，响应文件中磋商报价表内容与响应文件中明细表内容不符的，以磋商报价表为准。</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供</w:t>
      </w:r>
      <w:r>
        <w:rPr>
          <w:rFonts w:hint="eastAsia" w:ascii="仿宋" w:hAnsi="仿宋" w:eastAsia="仿宋" w:cs="仿宋"/>
          <w:color w:val="auto"/>
          <w:sz w:val="32"/>
          <w:szCs w:val="32"/>
        </w:rPr>
        <w:t>应商不同意以上修正，则其响应文件将被拒绝。</w:t>
      </w:r>
    </w:p>
    <w:p>
      <w:pPr>
        <w:pStyle w:val="7"/>
        <w:keepNext w:val="0"/>
        <w:keepLines w:val="0"/>
        <w:pageBreakBefore w:val="0"/>
        <w:kinsoku/>
        <w:wordWrap/>
        <w:overflowPunct/>
        <w:topLinePunct w:val="0"/>
        <w:autoSpaceDE/>
        <w:autoSpaceDN/>
        <w:bidi w:val="0"/>
        <w:spacing w:line="58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 xml:space="preserve">成交通知  </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成交通知书将是合同的一个组成部分。</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color w:val="auto"/>
          <w:sz w:val="32"/>
          <w:szCs w:val="32"/>
          <w:lang w:eastAsia="zh-CN"/>
        </w:rPr>
        <w:t>十六、</w:t>
      </w:r>
      <w:r>
        <w:rPr>
          <w:rFonts w:hint="eastAsia" w:ascii="黑体" w:hAnsi="黑体" w:eastAsia="黑体" w:cs="黑体"/>
          <w:b w:val="0"/>
          <w:bCs/>
          <w:color w:val="auto"/>
          <w:sz w:val="32"/>
          <w:szCs w:val="32"/>
        </w:rPr>
        <w:t>有下列情况之一采购人可以取消</w:t>
      </w:r>
      <w:r>
        <w:rPr>
          <w:rFonts w:hint="eastAsia" w:ascii="黑体" w:hAnsi="黑体" w:eastAsia="黑体" w:cs="黑体"/>
          <w:b w:val="0"/>
          <w:bCs/>
          <w:color w:val="auto"/>
          <w:sz w:val="32"/>
          <w:szCs w:val="32"/>
          <w:lang w:eastAsia="zh-CN"/>
        </w:rPr>
        <w:t>供应商</w:t>
      </w:r>
      <w:r>
        <w:rPr>
          <w:rFonts w:hint="eastAsia" w:ascii="黑体" w:hAnsi="黑体" w:eastAsia="黑体" w:cs="黑体"/>
          <w:b w:val="0"/>
          <w:bCs/>
          <w:color w:val="auto"/>
          <w:sz w:val="32"/>
          <w:szCs w:val="32"/>
        </w:rPr>
        <w:t>资格或单方解除合同</w:t>
      </w:r>
      <w:r>
        <w:rPr>
          <w:rFonts w:hint="eastAsia" w:ascii="仿宋" w:hAnsi="仿宋" w:eastAsia="仿宋" w:cs="仿宋"/>
          <w:b/>
          <w:color w:val="auto"/>
          <w:sz w:val="32"/>
          <w:szCs w:val="32"/>
        </w:rPr>
        <w:t>：</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w:t>
      </w:r>
      <w:r>
        <w:rPr>
          <w:rFonts w:hint="eastAsia" w:ascii="仿宋" w:hAnsi="仿宋" w:eastAsia="仿宋" w:cs="仿宋"/>
          <w:color w:val="auto"/>
          <w:sz w:val="32"/>
          <w:szCs w:val="32"/>
          <w:lang w:eastAsia="zh-CN"/>
        </w:rPr>
        <w:t>入围</w:t>
      </w:r>
      <w:r>
        <w:rPr>
          <w:rFonts w:hint="eastAsia" w:ascii="仿宋" w:hAnsi="仿宋" w:eastAsia="仿宋" w:cs="仿宋"/>
          <w:color w:val="auto"/>
          <w:sz w:val="32"/>
          <w:szCs w:val="32"/>
        </w:rPr>
        <w:t>采购供应商提供的材料费价格或工时费价格或服务质量承诺等不符合</w:t>
      </w:r>
      <w:r>
        <w:rPr>
          <w:rFonts w:hint="eastAsia" w:ascii="仿宋" w:hAnsi="仿宋" w:eastAsia="仿宋" w:cs="仿宋"/>
          <w:color w:val="auto"/>
          <w:sz w:val="32"/>
          <w:szCs w:val="32"/>
          <w:lang w:eastAsia="zh-CN"/>
        </w:rPr>
        <w:t>磋商</w:t>
      </w:r>
      <w:r>
        <w:rPr>
          <w:rFonts w:hint="eastAsia" w:ascii="仿宋" w:hAnsi="仿宋" w:eastAsia="仿宋" w:cs="仿宋"/>
          <w:color w:val="auto"/>
          <w:sz w:val="32"/>
          <w:szCs w:val="32"/>
        </w:rPr>
        <w:t>文件要求和</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承诺的；</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通知书，不按时与采购人签订合同的；</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不履行双方签订合同事项的。</w:t>
      </w:r>
    </w:p>
    <w:p>
      <w:pPr>
        <w:keepNext w:val="0"/>
        <w:keepLines w:val="0"/>
        <w:pageBreakBefore w:val="0"/>
        <w:widowControl w:val="0"/>
        <w:numPr>
          <w:ilvl w:val="0"/>
          <w:numId w:val="0"/>
        </w:numPr>
        <w:kinsoku/>
        <w:wordWrap/>
        <w:overflowPunct/>
        <w:topLinePunct w:val="0"/>
        <w:autoSpaceDE/>
        <w:autoSpaceDN/>
        <w:bidi w:val="0"/>
        <w:snapToGrid w:val="0"/>
        <w:spacing w:line="580" w:lineRule="exact"/>
        <w:jc w:val="both"/>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autoSpaceDE/>
        <w:autoSpaceDN/>
        <w:bidi w:val="0"/>
        <w:spacing w:after="156" w:afterLines="50" w:line="580" w:lineRule="exact"/>
        <w:jc w:val="center"/>
        <w:textAlignment w:val="auto"/>
        <w:rPr>
          <w:rFonts w:hint="eastAsia" w:asciiTheme="majorEastAsia" w:hAnsiTheme="majorEastAsia" w:eastAsiaTheme="majorEastAsia" w:cstheme="majorEastAsia"/>
          <w:b/>
          <w:sz w:val="44"/>
          <w:szCs w:val="44"/>
        </w:rPr>
      </w:pPr>
    </w:p>
    <w:p>
      <w:pPr>
        <w:pStyle w:val="7"/>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rPr>
      </w:pPr>
      <w:r>
        <w:rPr>
          <w:rFonts w:hint="eastAsia" w:ascii="仿宋" w:hAnsi="仿宋" w:eastAsia="仿宋" w:cs="仿宋"/>
          <w:b/>
          <w:bCs/>
          <w:sz w:val="32"/>
          <w:szCs w:val="32"/>
          <w:lang w:val="zh-CN" w:eastAsia="zh-CN"/>
        </w:rPr>
        <w:t>一、</w:t>
      </w:r>
      <w:r>
        <w:rPr>
          <w:rFonts w:hint="eastAsia" w:ascii="仿宋" w:hAnsi="仿宋" w:eastAsia="仿宋" w:cs="仿宋"/>
          <w:b/>
          <w:bCs/>
          <w:sz w:val="32"/>
          <w:szCs w:val="32"/>
          <w:lang w:val="zh-CN"/>
        </w:rPr>
        <w:t>采购项目说明</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绵阳交发顺达出租汽车有限公司为节约</w:t>
      </w:r>
      <w:r>
        <w:rPr>
          <w:rFonts w:hint="eastAsia" w:ascii="仿宋" w:hAnsi="仿宋" w:eastAsia="仿宋" w:cs="仿宋"/>
          <w:color w:val="333333"/>
          <w:sz w:val="32"/>
          <w:szCs w:val="32"/>
          <w:lang w:val="en-US" w:eastAsia="zh-CN"/>
        </w:rPr>
        <w:t>运营</w:t>
      </w:r>
      <w:r>
        <w:rPr>
          <w:rFonts w:hint="eastAsia" w:ascii="仿宋" w:hAnsi="仿宋" w:eastAsia="仿宋" w:cs="仿宋"/>
          <w:color w:val="333333"/>
          <w:sz w:val="32"/>
          <w:szCs w:val="32"/>
        </w:rPr>
        <w:t>成本，</w:t>
      </w:r>
      <w:r>
        <w:rPr>
          <w:rFonts w:hint="eastAsia" w:ascii="仿宋" w:hAnsi="仿宋" w:eastAsia="仿宋" w:cs="仿宋"/>
          <w:color w:val="333333"/>
          <w:sz w:val="32"/>
          <w:szCs w:val="32"/>
          <w:lang w:val="en-US" w:eastAsia="zh-CN"/>
        </w:rPr>
        <w:t>需要公开选取1家</w:t>
      </w:r>
      <w:r>
        <w:rPr>
          <w:rFonts w:hint="eastAsia" w:ascii="仿宋" w:hAnsi="仿宋" w:eastAsia="仿宋" w:cs="仿宋"/>
          <w:bCs/>
          <w:sz w:val="32"/>
          <w:szCs w:val="32"/>
          <w:lang w:val="en-US" w:eastAsia="zh-CN"/>
        </w:rPr>
        <w:t>丰田柯斯达内饰改装供应商</w:t>
      </w:r>
      <w:r>
        <w:rPr>
          <w:rFonts w:hint="eastAsia" w:ascii="仿宋" w:hAnsi="仿宋" w:eastAsia="仿宋" w:cs="仿宋"/>
          <w:b w:val="0"/>
          <w:bCs w:val="0"/>
          <w:color w:val="auto"/>
          <w:sz w:val="32"/>
          <w:szCs w:val="32"/>
          <w:lang w:eastAsia="zh-CN"/>
        </w:rPr>
        <w:t>提供</w:t>
      </w:r>
      <w:r>
        <w:rPr>
          <w:rFonts w:hint="eastAsia" w:ascii="仿宋" w:hAnsi="仿宋" w:eastAsia="仿宋" w:cs="仿宋"/>
          <w:b w:val="0"/>
          <w:bCs w:val="0"/>
          <w:color w:val="auto"/>
          <w:sz w:val="32"/>
          <w:szCs w:val="32"/>
          <w:lang w:val="en-US" w:eastAsia="zh-CN"/>
        </w:rPr>
        <w:t>车辆内饰改装</w:t>
      </w:r>
      <w:r>
        <w:rPr>
          <w:rFonts w:hint="eastAsia" w:ascii="仿宋" w:hAnsi="仿宋" w:eastAsia="仿宋" w:cs="仿宋"/>
          <w:b w:val="0"/>
          <w:bCs w:val="0"/>
          <w:color w:val="auto"/>
          <w:sz w:val="32"/>
          <w:szCs w:val="32"/>
          <w:lang w:eastAsia="zh-CN"/>
        </w:rPr>
        <w:t>服务。</w:t>
      </w:r>
    </w:p>
    <w:p>
      <w:pPr>
        <w:pStyle w:val="7"/>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二、技术</w:t>
      </w:r>
      <w:r>
        <w:rPr>
          <w:rFonts w:hint="eastAsia" w:ascii="仿宋" w:hAnsi="仿宋" w:eastAsia="仿宋" w:cs="仿宋"/>
          <w:b/>
          <w:bCs/>
          <w:sz w:val="32"/>
          <w:szCs w:val="32"/>
          <w:lang w:val="en-US" w:eastAsia="zh-CN"/>
        </w:rPr>
        <w:t>及其它</w:t>
      </w:r>
      <w:r>
        <w:rPr>
          <w:rFonts w:hint="eastAsia" w:ascii="仿宋" w:hAnsi="仿宋" w:eastAsia="仿宋" w:cs="仿宋"/>
          <w:b/>
          <w:bCs/>
          <w:sz w:val="32"/>
          <w:szCs w:val="32"/>
          <w:lang w:val="zh-CN" w:eastAsia="zh-CN"/>
        </w:rPr>
        <w:t>要求</w:t>
      </w:r>
    </w:p>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textAlignment w:val="auto"/>
        <w:rPr>
          <w:rFonts w:hint="eastAsia" w:ascii="仿宋" w:hAnsi="仿宋" w:eastAsia="仿宋" w:cs="仿宋"/>
          <w:b w:val="0"/>
          <w:bCs w:val="0"/>
          <w:spacing w:val="-4"/>
          <w:sz w:val="32"/>
          <w:szCs w:val="32"/>
          <w:lang w:val="en-US" w:eastAsia="zh-CN"/>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b w:val="0"/>
          <w:bCs w:val="0"/>
          <w:spacing w:val="-4"/>
          <w:sz w:val="32"/>
          <w:szCs w:val="32"/>
        </w:rPr>
        <w:t>经营年限在</w:t>
      </w:r>
      <w:r>
        <w:rPr>
          <w:rFonts w:hint="eastAsia" w:ascii="仿宋" w:hAnsi="仿宋" w:eastAsia="仿宋" w:cs="仿宋"/>
          <w:b w:val="0"/>
          <w:bCs w:val="0"/>
          <w:spacing w:val="-4"/>
          <w:sz w:val="32"/>
          <w:szCs w:val="32"/>
          <w:lang w:val="en-US" w:eastAsia="zh-CN"/>
        </w:rPr>
        <w:t>3</w:t>
      </w:r>
      <w:r>
        <w:rPr>
          <w:rFonts w:hint="eastAsia" w:ascii="仿宋" w:hAnsi="仿宋" w:eastAsia="仿宋" w:cs="仿宋"/>
          <w:b w:val="0"/>
          <w:bCs w:val="0"/>
          <w:spacing w:val="-4"/>
          <w:sz w:val="32"/>
          <w:szCs w:val="32"/>
        </w:rPr>
        <w:t>年以上，服务设施完善，良好</w:t>
      </w:r>
      <w:r>
        <w:rPr>
          <w:rFonts w:hint="eastAsia" w:ascii="仿宋" w:hAnsi="仿宋" w:eastAsia="仿宋" w:cs="仿宋"/>
          <w:b w:val="0"/>
          <w:bCs w:val="0"/>
          <w:spacing w:val="-4"/>
          <w:sz w:val="32"/>
          <w:szCs w:val="32"/>
          <w:lang w:eastAsia="zh-CN"/>
        </w:rPr>
        <w:t>。</w:t>
      </w:r>
    </w:p>
    <w:p>
      <w:pPr>
        <w:keepNext w:val="0"/>
        <w:keepLines w:val="0"/>
        <w:pageBreakBefore w:val="0"/>
        <w:kinsoku/>
        <w:wordWrap/>
        <w:overflowPunct/>
        <w:topLinePunct w:val="0"/>
        <w:autoSpaceDE/>
        <w:autoSpaceDN/>
        <w:bidi w:val="0"/>
        <w:spacing w:line="580" w:lineRule="exact"/>
        <w:textAlignment w:val="auto"/>
        <w:rPr>
          <w:rFonts w:hint="default" w:ascii="仿宋" w:hAnsi="仿宋" w:eastAsia="仿宋" w:cs="仿宋"/>
          <w:color w:val="5B9BD5" w:themeColor="accent1"/>
          <w:sz w:val="32"/>
          <w:szCs w:val="32"/>
          <w:lang w:val="en-US" w:eastAsia="zh-CN"/>
          <w14:textFill>
            <w14:solidFill>
              <w14:schemeClr w14:val="accent1"/>
            </w14:solidFill>
          </w14:textFill>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三、改装明细及</w:t>
      </w:r>
      <w:r>
        <w:rPr>
          <w:rFonts w:hint="eastAsia" w:ascii="仿宋" w:hAnsi="仿宋" w:eastAsia="仿宋" w:cs="仿宋"/>
          <w:b/>
          <w:bCs/>
          <w:sz w:val="32"/>
          <w:szCs w:val="32"/>
          <w:lang w:val="zh-CN" w:eastAsia="zh-CN"/>
        </w:rPr>
        <w:t>技术</w:t>
      </w:r>
      <w:r>
        <w:rPr>
          <w:rFonts w:hint="eastAsia" w:ascii="仿宋" w:hAnsi="仿宋" w:eastAsia="仿宋" w:cs="仿宋"/>
          <w:b/>
          <w:bCs/>
          <w:sz w:val="32"/>
          <w:szCs w:val="32"/>
          <w:lang w:val="en-US" w:eastAsia="zh-CN"/>
        </w:rPr>
        <w:t>要求</w:t>
      </w:r>
    </w:p>
    <w:tbl>
      <w:tblPr>
        <w:tblStyle w:val="9"/>
        <w:tblW w:w="10144" w:type="dxa"/>
        <w:tblInd w:w="-871" w:type="dxa"/>
        <w:shd w:val="clear" w:color="auto" w:fill="auto"/>
        <w:tblLayout w:type="fixed"/>
        <w:tblCellMar>
          <w:top w:w="0" w:type="dxa"/>
          <w:left w:w="108" w:type="dxa"/>
          <w:bottom w:w="0" w:type="dxa"/>
          <w:right w:w="108" w:type="dxa"/>
        </w:tblCellMar>
      </w:tblPr>
      <w:tblGrid>
        <w:gridCol w:w="1116"/>
        <w:gridCol w:w="2230"/>
        <w:gridCol w:w="731"/>
        <w:gridCol w:w="635"/>
        <w:gridCol w:w="981"/>
        <w:gridCol w:w="865"/>
        <w:gridCol w:w="3586"/>
      </w:tblGrid>
      <w:tr>
        <w:tblPrEx>
          <w:shd w:val="clear" w:color="auto" w:fill="auto"/>
          <w:tblLayout w:type="fixed"/>
          <w:tblCellMar>
            <w:top w:w="0" w:type="dxa"/>
            <w:left w:w="108" w:type="dxa"/>
            <w:bottom w:w="0" w:type="dxa"/>
            <w:right w:w="108" w:type="dxa"/>
          </w:tblCellMar>
        </w:tblPrEx>
        <w:trPr>
          <w:trHeight w:val="550" w:hRule="atLeast"/>
        </w:trPr>
        <w:tc>
          <w:tcPr>
            <w:tcW w:w="10144"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内饰改装项目表</w:t>
            </w:r>
            <w:r>
              <w:rPr>
                <w:rFonts w:hint="default" w:ascii="等线" w:hAnsi="等线" w:eastAsia="等线" w:cs="等线"/>
                <w:i w:val="0"/>
                <w:iCs w:val="0"/>
                <w:color w:val="000000"/>
                <w:kern w:val="0"/>
                <w:sz w:val="32"/>
                <w:szCs w:val="32"/>
                <w:u w:val="none"/>
                <w:lang w:val="en-US" w:eastAsia="zh-CN" w:bidi="ar"/>
              </w:rPr>
              <w:t>（20座）</w:t>
            </w:r>
          </w:p>
        </w:tc>
      </w:tr>
      <w:tr>
        <w:tblPrEx>
          <w:tblLayout w:type="fixed"/>
          <w:tblCellMar>
            <w:top w:w="0" w:type="dxa"/>
            <w:left w:w="108" w:type="dxa"/>
            <w:bottom w:w="0" w:type="dxa"/>
            <w:right w:w="108" w:type="dxa"/>
          </w:tblCellMar>
        </w:tblPrEx>
        <w:trPr>
          <w:trHeight w:val="42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5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4.0L汽油20座特别版（制造厂专用型号GRB53L-ZCMSK)</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5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20座</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90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260" w:hRule="atLeast"/>
        </w:trPr>
        <w:tc>
          <w:tcPr>
            <w:tcW w:w="101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320"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整体要求</w:t>
            </w:r>
          </w:p>
        </w:tc>
        <w:tc>
          <w:tcPr>
            <w:tcW w:w="679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座位数不变，整体后移，加装办公桌、副驾驶背后第一个座椅也保留</w:t>
            </w:r>
          </w:p>
        </w:tc>
      </w:tr>
      <w:tr>
        <w:tblPrEx>
          <w:tblLayout w:type="fixed"/>
          <w:tblCellMar>
            <w:top w:w="0" w:type="dxa"/>
            <w:left w:w="108" w:type="dxa"/>
            <w:bottom w:w="0" w:type="dxa"/>
            <w:right w:w="108" w:type="dxa"/>
          </w:tblCellMar>
        </w:tblPrEx>
        <w:trPr>
          <w:trHeight w:val="3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整体座椅位置变更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整体后移留出办公桌位置，保留20座</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侧壁蒙皮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车内两侧侧壁下半部分</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58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原厂款，主副驾，S2不要</w:t>
            </w:r>
          </w:p>
        </w:tc>
      </w:tr>
      <w:tr>
        <w:tblPrEx>
          <w:tblLayout w:type="fixed"/>
          <w:tblCellMar>
            <w:top w:w="0" w:type="dxa"/>
            <w:left w:w="108" w:type="dxa"/>
            <w:bottom w:w="0" w:type="dxa"/>
            <w:right w:w="108" w:type="dxa"/>
          </w:tblCellMar>
        </w:tblPrEx>
        <w:trPr>
          <w:trHeight w:val="9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国产，安卓系统，带导航</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520" w:hRule="atLeast"/>
        </w:trPr>
        <w:tc>
          <w:tcPr>
            <w:tcW w:w="569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tbl>
      <w:tblPr>
        <w:tblStyle w:val="9"/>
        <w:tblW w:w="9942" w:type="dxa"/>
        <w:tblInd w:w="-834" w:type="dxa"/>
        <w:shd w:val="clear" w:color="auto" w:fill="auto"/>
        <w:tblLayout w:type="fixed"/>
        <w:tblCellMar>
          <w:top w:w="0" w:type="dxa"/>
          <w:left w:w="108" w:type="dxa"/>
          <w:bottom w:w="0" w:type="dxa"/>
          <w:right w:w="108" w:type="dxa"/>
        </w:tblCellMar>
      </w:tblPr>
      <w:tblGrid>
        <w:gridCol w:w="1173"/>
        <w:gridCol w:w="1904"/>
        <w:gridCol w:w="673"/>
        <w:gridCol w:w="730"/>
        <w:gridCol w:w="885"/>
        <w:gridCol w:w="923"/>
        <w:gridCol w:w="3654"/>
      </w:tblGrid>
      <w:tr>
        <w:tblPrEx>
          <w:shd w:val="clear" w:color="auto" w:fill="auto"/>
          <w:tblLayout w:type="fixed"/>
          <w:tblCellMar>
            <w:top w:w="0" w:type="dxa"/>
            <w:left w:w="108" w:type="dxa"/>
            <w:bottom w:w="0" w:type="dxa"/>
            <w:right w:w="108" w:type="dxa"/>
          </w:tblCellMar>
        </w:tblPrEx>
        <w:trPr>
          <w:trHeight w:val="550" w:hRule="atLeast"/>
        </w:trPr>
        <w:tc>
          <w:tcPr>
            <w:tcW w:w="994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内饰改装项目表</w:t>
            </w:r>
            <w:r>
              <w:rPr>
                <w:rFonts w:hint="default" w:ascii="等线" w:hAnsi="等线" w:eastAsia="等线" w:cs="等线"/>
                <w:i w:val="0"/>
                <w:iCs w:val="0"/>
                <w:color w:val="000000"/>
                <w:kern w:val="0"/>
                <w:sz w:val="32"/>
                <w:szCs w:val="32"/>
                <w:u w:val="none"/>
                <w:lang w:val="en-US" w:eastAsia="zh-CN" w:bidi="ar"/>
              </w:rPr>
              <w:t>（17座）</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4.0L汽油特别版（制造厂专用型号GRB53L-ZCMSK)</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4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17座（在20座基础上取消驾驶员及副驾驶背后第一排）</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87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400" w:hRule="atLeast"/>
        </w:trPr>
        <w:tc>
          <w:tcPr>
            <w:tcW w:w="99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带雨伞架饮水机柜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含饮水机、储物柜、伞架</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72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国产品牌，安卓系统，带导航</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53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加装合计</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7"/>
        <w:keepNext w:val="0"/>
        <w:keepLines w:val="0"/>
        <w:pageBreakBefore w:val="0"/>
        <w:numPr>
          <w:ilvl w:val="0"/>
          <w:numId w:val="8"/>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参与磋商的供应商需按照磋商须知的第</w:t>
      </w:r>
      <w:r>
        <w:rPr>
          <w:rFonts w:hint="eastAsia" w:ascii="仿宋_GB2312" w:hAnsi="仿宋_GB2312" w:eastAsia="仿宋_GB2312" w:cs="仿宋_GB2312"/>
          <w:b w:val="0"/>
          <w:bCs/>
          <w:sz w:val="32"/>
          <w:szCs w:val="32"/>
          <w:lang w:val="en-US" w:eastAsia="zh-CN"/>
        </w:rPr>
        <w:t>六</w:t>
      </w:r>
      <w:r>
        <w:rPr>
          <w:rFonts w:hint="eastAsia" w:ascii="仿宋_GB2312" w:hAnsi="仿宋_GB2312" w:eastAsia="仿宋_GB2312" w:cs="仿宋_GB2312"/>
          <w:b w:val="0"/>
          <w:bCs/>
          <w:sz w:val="32"/>
          <w:szCs w:val="32"/>
          <w:lang w:eastAsia="zh-CN"/>
        </w:rPr>
        <w:t>条</w:t>
      </w:r>
      <w:r>
        <w:rPr>
          <w:rFonts w:hint="eastAsia" w:ascii="仿宋_GB2312" w:hAnsi="仿宋_GB2312" w:eastAsia="仿宋_GB2312" w:cs="仿宋_GB2312"/>
          <w:b w:val="0"/>
          <w:bCs/>
          <w:sz w:val="32"/>
          <w:szCs w:val="32"/>
          <w:lang w:val="en-US" w:eastAsia="zh-CN"/>
        </w:rPr>
        <w:t>递交响应文件（P</w:t>
      </w:r>
      <w:r>
        <w:rPr>
          <w:rFonts w:hint="eastAsia" w:ascii="仿宋_GB2312" w:hAnsi="仿宋_GB2312" w:eastAsia="仿宋_GB2312" w:cs="仿宋_GB2312"/>
          <w:b w:val="0"/>
          <w:bCs/>
          <w:sz w:val="24"/>
          <w:szCs w:val="24"/>
          <w:lang w:val="en-US" w:eastAsia="zh-CN"/>
        </w:rPr>
        <w:t>4.5.6</w:t>
      </w:r>
      <w:r>
        <w:rPr>
          <w:rFonts w:hint="eastAsia" w:ascii="仿宋_GB2312" w:hAnsi="仿宋_GB2312" w:eastAsia="仿宋_GB2312" w:cs="仿宋_GB2312"/>
          <w:b w:val="0"/>
          <w:bCs/>
          <w:sz w:val="32"/>
          <w:szCs w:val="32"/>
          <w:lang w:val="en-US" w:eastAsia="zh-CN"/>
        </w:rPr>
        <w:t>页）</w:t>
      </w:r>
    </w:p>
    <w:p>
      <w:pPr>
        <w:pStyle w:val="7"/>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为方便各维保供应商递交响应文件，对部分文件统一格式，其他未列格式的文件由各维保供应商自行提供。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7"/>
        <w:keepNext w:val="0"/>
        <w:keepLines w:val="0"/>
        <w:pageBreakBefore w:val="0"/>
        <w:numPr>
          <w:ilvl w:val="0"/>
          <w:numId w:val="0"/>
        </w:numPr>
        <w:kinsoku/>
        <w:wordWrap/>
        <w:overflowPunct/>
        <w:topLinePunct w:val="0"/>
        <w:autoSpaceDE/>
        <w:autoSpaceDN/>
        <w:bidi w:val="0"/>
        <w:spacing w:line="580" w:lineRule="exact"/>
        <w:jc w:val="both"/>
        <w:textAlignment w:val="auto"/>
        <w:rPr>
          <w:rFonts w:hint="eastAsia"/>
          <w:b/>
          <w:sz w:val="44"/>
          <w:szCs w:val="44"/>
          <w:lang w:val="en-US" w:eastAsia="zh-CN"/>
        </w:rPr>
      </w:pPr>
    </w:p>
    <w:p>
      <w:pPr>
        <w:pStyle w:val="7"/>
        <w:keepNext w:val="0"/>
        <w:keepLines w:val="0"/>
        <w:pageBreakBefore w:val="0"/>
        <w:numPr>
          <w:ilvl w:val="0"/>
          <w:numId w:val="0"/>
        </w:numPr>
        <w:kinsoku/>
        <w:wordWrap/>
        <w:overflowPunct/>
        <w:topLinePunct w:val="0"/>
        <w:autoSpaceDE/>
        <w:autoSpaceDN/>
        <w:bidi w:val="0"/>
        <w:spacing w:before="312" w:beforeLines="100"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 xml:space="preserve">磋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商  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________________ :</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     ___________(供应商全称)授权_______________(全权代表姓名)_____________(职务、职称)为全权代表，参加贵方组织的______________(项目编号、项目名称)磋商的有关活动，并对___________进行报价。为此：</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1、我方承诺已经具备：</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（1）具有独立承担民事责任的能力；</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（2）具有良好的商业信誉和健全的财务会计制度；</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（3）具有履行合同所必需的设备和专业技术能力；</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（4）有依法缴纳税收和社会保障资金的良好记录；</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（5）法律、行政法规规定的其他条件。</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2、我方承诺坚决不做以下行为：</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（1）提供虚假材料谋取中标、成交的；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（2）采取不正当手段诋毁、排挤其他供应商的；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（3）与采购人、其他供应商恶意串通的；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（4）向采购人行贿或者提供其他不正当利益的；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（5）在磋商采购过程中与采购人进行协商谈判的；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（6）拒绝有关部门监督检查或者提供虚假情况的。</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3、完全满足磋商文件中全部实质性要求。</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4、提供规定的全部响应文件：正本  份、副本  份；</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5、保证遵守磋商文件中的有关规定。</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6、保证严格执行双方所签的采购合同，并承担合同规定的责任义务。</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7、愿意向贵方提供任何与磋商有关的资料、情况和技术资料。</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8、本报价响应文件自磋商之日起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、与本磋商有关的一切来往通讯请寄：</w:t>
      </w:r>
    </w:p>
    <w:p>
      <w:pPr>
        <w:pStyle w:val="7"/>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地址：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7"/>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邮编：</w:t>
      </w:r>
      <w:r>
        <w:rPr>
          <w:rFonts w:hint="eastAsia" w:ascii="仿宋" w:hAnsi="仿宋" w:eastAsia="仿宋" w:cs="仿宋"/>
          <w:sz w:val="32"/>
          <w:szCs w:val="32"/>
          <w:u w:val="single"/>
          <w:lang w:val="en-US" w:eastAsia="zh-CN"/>
        </w:rPr>
        <w:t xml:space="preserve">                                     </w:t>
      </w:r>
    </w:p>
    <w:p>
      <w:pPr>
        <w:pStyle w:val="7"/>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7"/>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传真：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7"/>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7"/>
        <w:keepNext w:val="0"/>
        <w:keepLines w:val="0"/>
        <w:pageBreakBefore w:val="0"/>
        <w:kinsoku/>
        <w:wordWrap/>
        <w:overflowPunct/>
        <w:topLinePunct w:val="0"/>
        <w:autoSpaceDE/>
        <w:autoSpaceDN/>
        <w:bidi w:val="0"/>
        <w:spacing w:line="580" w:lineRule="exact"/>
        <w:textAlignment w:val="auto"/>
        <w:rPr>
          <w:rFonts w:hint="eastAsia"/>
          <w:sz w:val="24"/>
          <w:szCs w:val="24"/>
        </w:rPr>
      </w:pPr>
    </w:p>
    <w:p>
      <w:pPr>
        <w:pStyle w:val="7"/>
        <w:keepNext w:val="0"/>
        <w:keepLines w:val="0"/>
        <w:pageBreakBefore w:val="0"/>
        <w:kinsoku/>
        <w:wordWrap/>
        <w:overflowPunct/>
        <w:topLinePunct w:val="0"/>
        <w:autoSpaceDE/>
        <w:autoSpaceDN/>
        <w:bidi w:val="0"/>
        <w:spacing w:line="580" w:lineRule="exact"/>
        <w:textAlignment w:val="auto"/>
        <w:rPr>
          <w:rFonts w:hint="eastAsia"/>
          <w:sz w:val="24"/>
          <w:szCs w:val="24"/>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仿宋" w:hAnsi="仿宋" w:eastAsia="仿宋" w:cs="仿宋"/>
          <w:sz w:val="32"/>
          <w:szCs w:val="32"/>
        </w:rPr>
      </w:pPr>
    </w:p>
    <w:p>
      <w:pPr>
        <w:keepNext w:val="0"/>
        <w:keepLines w:val="0"/>
        <w:pageBreakBefore w:val="0"/>
        <w:tabs>
          <w:tab w:val="left" w:pos="2210"/>
        </w:tabs>
        <w:kinsoku/>
        <w:wordWrap/>
        <w:overflowPunct/>
        <w:topLinePunct w:val="0"/>
        <w:autoSpaceDE/>
        <w:autoSpaceDN/>
        <w:bidi w:val="0"/>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keepNext w:val="0"/>
        <w:keepLines w:val="0"/>
        <w:pageBreakBefore w:val="0"/>
        <w:tabs>
          <w:tab w:val="left" w:pos="2210"/>
        </w:tabs>
        <w:kinsoku/>
        <w:wordWrap/>
        <w:overflowPunct/>
        <w:topLinePunct w:val="0"/>
        <w:autoSpaceDE/>
        <w:autoSpaceDN/>
        <w:bidi w:val="0"/>
        <w:spacing w:line="580" w:lineRule="exact"/>
        <w:textAlignment w:val="auto"/>
        <w:rPr>
          <w:rFonts w:hint="eastAsia" w:ascii="仿宋" w:hAnsi="仿宋" w:eastAsia="仿宋" w:cs="仿宋"/>
          <w:sz w:val="32"/>
          <w:szCs w:val="32"/>
          <w:lang w:eastAsia="zh-CN"/>
        </w:rPr>
      </w:pPr>
    </w:p>
    <w:p>
      <w:pPr>
        <w:keepNext w:val="0"/>
        <w:keepLines w:val="0"/>
        <w:pageBreakBefore w:val="0"/>
        <w:tabs>
          <w:tab w:val="left" w:pos="2210"/>
        </w:tabs>
        <w:kinsoku/>
        <w:wordWrap/>
        <w:overflowPunct/>
        <w:topLinePunct w:val="0"/>
        <w:autoSpaceDE/>
        <w:autoSpaceDN/>
        <w:bidi w:val="0"/>
        <w:spacing w:line="580" w:lineRule="exac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80" w:lineRule="exact"/>
        <w:jc w:val="both"/>
        <w:textAlignment w:val="auto"/>
        <w:rPr>
          <w:rFonts w:hint="eastAsia" w:ascii="仿宋" w:hAnsi="仿宋" w:eastAsia="仿宋" w:cs="仿宋"/>
          <w:b/>
          <w:bCs/>
          <w:sz w:val="24"/>
          <w:szCs w:val="24"/>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报价表</w:t>
      </w:r>
    </w:p>
    <w:tbl>
      <w:tblPr>
        <w:tblStyle w:val="9"/>
        <w:tblW w:w="10591" w:type="dxa"/>
        <w:tblInd w:w="-871" w:type="dxa"/>
        <w:shd w:val="clear" w:color="auto" w:fill="auto"/>
        <w:tblLayout w:type="fixed"/>
        <w:tblCellMar>
          <w:top w:w="0" w:type="dxa"/>
          <w:left w:w="108" w:type="dxa"/>
          <w:bottom w:w="0" w:type="dxa"/>
          <w:right w:w="108" w:type="dxa"/>
        </w:tblCellMar>
      </w:tblPr>
      <w:tblGrid>
        <w:gridCol w:w="1172"/>
        <w:gridCol w:w="2184"/>
        <w:gridCol w:w="721"/>
        <w:gridCol w:w="999"/>
        <w:gridCol w:w="905"/>
        <w:gridCol w:w="992"/>
        <w:gridCol w:w="3618"/>
      </w:tblGrid>
      <w:tr>
        <w:tblPrEx>
          <w:shd w:val="clear" w:color="auto" w:fill="auto"/>
          <w:tblLayout w:type="fixed"/>
          <w:tblCellMar>
            <w:top w:w="0" w:type="dxa"/>
            <w:left w:w="108" w:type="dxa"/>
            <w:bottom w:w="0" w:type="dxa"/>
            <w:right w:w="108" w:type="dxa"/>
          </w:tblCellMar>
        </w:tblPrEx>
        <w:trPr>
          <w:trHeight w:val="550" w:hRule="atLeast"/>
        </w:trPr>
        <w:tc>
          <w:tcPr>
            <w:tcW w:w="10591"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内饰改装项目报价表</w:t>
            </w:r>
            <w:r>
              <w:rPr>
                <w:rFonts w:hint="default" w:ascii="等线" w:hAnsi="等线" w:eastAsia="等线" w:cs="等线"/>
                <w:i w:val="0"/>
                <w:iCs w:val="0"/>
                <w:color w:val="000000"/>
                <w:kern w:val="0"/>
                <w:sz w:val="32"/>
                <w:szCs w:val="32"/>
                <w:u w:val="none"/>
                <w:lang w:val="en-US" w:eastAsia="zh-CN" w:bidi="ar"/>
              </w:rPr>
              <w:t>（20座）</w:t>
            </w:r>
          </w:p>
        </w:tc>
      </w:tr>
      <w:tr>
        <w:tblPrEx>
          <w:tblLayout w:type="fixed"/>
          <w:tblCellMar>
            <w:top w:w="0" w:type="dxa"/>
            <w:left w:w="108" w:type="dxa"/>
            <w:bottom w:w="0" w:type="dxa"/>
            <w:right w:w="108" w:type="dxa"/>
          </w:tblCellMar>
        </w:tblPrEx>
        <w:trPr>
          <w:trHeight w:val="42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9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4.0L汽油20座特别版（制造厂专用型号GRB53L-ZCMSK)</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9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20座</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94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260" w:hRule="atLeast"/>
        </w:trPr>
        <w:tc>
          <w:tcPr>
            <w:tcW w:w="1059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320" w:hRule="atLeast"/>
        </w:trPr>
        <w:tc>
          <w:tcPr>
            <w:tcW w:w="33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整体要求</w:t>
            </w:r>
          </w:p>
        </w:tc>
        <w:tc>
          <w:tcPr>
            <w:tcW w:w="72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座位数不变，整体后移，加装办公桌、副驾驶背后第一个座椅也保留</w:t>
            </w:r>
          </w:p>
        </w:tc>
      </w:tr>
      <w:tr>
        <w:tblPrEx>
          <w:tblLayout w:type="fixed"/>
          <w:tblCellMar>
            <w:top w:w="0" w:type="dxa"/>
            <w:left w:w="108" w:type="dxa"/>
            <w:bottom w:w="0" w:type="dxa"/>
            <w:right w:w="108" w:type="dxa"/>
          </w:tblCellMar>
        </w:tblPrEx>
        <w:trPr>
          <w:trHeight w:val="3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整体座椅位置变更</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次</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整体后移留出办公桌位置，保留20座</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侧壁蒙皮</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车内两侧侧壁下半部分</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58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原厂款，主副驾，S2不要</w:t>
            </w:r>
          </w:p>
        </w:tc>
      </w:tr>
      <w:tr>
        <w:tblPrEx>
          <w:tblLayout w:type="fixed"/>
          <w:tblCellMar>
            <w:top w:w="0" w:type="dxa"/>
            <w:left w:w="108" w:type="dxa"/>
            <w:bottom w:w="0" w:type="dxa"/>
            <w:right w:w="108" w:type="dxa"/>
          </w:tblCellMar>
        </w:tblPrEx>
        <w:trPr>
          <w:trHeight w:val="9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国产，安卓系统，带导航</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520" w:hRule="atLeast"/>
        </w:trPr>
        <w:tc>
          <w:tcPr>
            <w:tcW w:w="59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合计</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tbl>
      <w:tblPr>
        <w:tblStyle w:val="9"/>
        <w:tblW w:w="9942" w:type="dxa"/>
        <w:tblInd w:w="-834" w:type="dxa"/>
        <w:shd w:val="clear" w:color="auto" w:fill="auto"/>
        <w:tblLayout w:type="fixed"/>
        <w:tblCellMar>
          <w:top w:w="0" w:type="dxa"/>
          <w:left w:w="108" w:type="dxa"/>
          <w:bottom w:w="0" w:type="dxa"/>
          <w:right w:w="108" w:type="dxa"/>
        </w:tblCellMar>
      </w:tblPr>
      <w:tblGrid>
        <w:gridCol w:w="1173"/>
        <w:gridCol w:w="1904"/>
        <w:gridCol w:w="673"/>
        <w:gridCol w:w="730"/>
        <w:gridCol w:w="885"/>
        <w:gridCol w:w="923"/>
        <w:gridCol w:w="3654"/>
      </w:tblGrid>
      <w:tr>
        <w:tblPrEx>
          <w:shd w:val="clear" w:color="auto" w:fill="auto"/>
          <w:tblLayout w:type="fixed"/>
          <w:tblCellMar>
            <w:top w:w="0" w:type="dxa"/>
            <w:left w:w="108" w:type="dxa"/>
            <w:bottom w:w="0" w:type="dxa"/>
            <w:right w:w="108" w:type="dxa"/>
          </w:tblCellMar>
        </w:tblPrEx>
        <w:trPr>
          <w:trHeight w:val="550" w:hRule="atLeast"/>
        </w:trPr>
        <w:tc>
          <w:tcPr>
            <w:tcW w:w="994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内饰改装项目报价表</w:t>
            </w:r>
            <w:r>
              <w:rPr>
                <w:rFonts w:hint="default" w:ascii="等线" w:hAnsi="等线" w:eastAsia="等线" w:cs="等线"/>
                <w:i w:val="0"/>
                <w:iCs w:val="0"/>
                <w:color w:val="000000"/>
                <w:kern w:val="0"/>
                <w:sz w:val="32"/>
                <w:szCs w:val="32"/>
                <w:u w:val="none"/>
                <w:lang w:val="en-US" w:eastAsia="zh-CN" w:bidi="ar"/>
              </w:rPr>
              <w:t>（17座）</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4.0L汽油特别版（制造厂专用型号GRB53L-ZCMSK)</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4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17座（在20座基础上取消驾驶员及副驾驶背后第一排）</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87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400" w:hRule="atLeast"/>
        </w:trPr>
        <w:tc>
          <w:tcPr>
            <w:tcW w:w="99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带雨伞架饮水机柜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含饮水机、储物柜、伞架</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72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国产品牌，安卓系统，带导航</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53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加装合计</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供应商（公章）：</w:t>
      </w:r>
    </w:p>
    <w:p>
      <w:pPr>
        <w:pStyle w:val="7"/>
        <w:keepNext w:val="0"/>
        <w:keepLines w:val="0"/>
        <w:pageBreakBefore w:val="0"/>
        <w:tabs>
          <w:tab w:val="right" w:pos="8278"/>
        </w:tabs>
        <w:kinsoku/>
        <w:wordWrap/>
        <w:overflowPunct/>
        <w:topLinePunct w:val="0"/>
        <w:bidi w:val="0"/>
        <w:spacing w:line="580" w:lineRule="exact"/>
        <w:jc w:val="righ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全权代表（签章）：</w:t>
      </w:r>
    </w:p>
    <w:p>
      <w:pPr>
        <w:pStyle w:val="7"/>
        <w:keepNext w:val="0"/>
        <w:keepLines w:val="0"/>
        <w:pageBreakBefore w:val="0"/>
        <w:tabs>
          <w:tab w:val="right" w:pos="8278"/>
        </w:tabs>
        <w:kinsoku/>
        <w:wordWrap/>
        <w:overflowPunct/>
        <w:topLinePunct w:val="0"/>
        <w:bidi w:val="0"/>
        <w:spacing w:line="580" w:lineRule="exact"/>
        <w:ind w:firstLine="360" w:firstLineChars="150"/>
        <w:jc w:val="right"/>
        <w:rPr>
          <w:rFonts w:hint="eastAsia" w:asciiTheme="minorEastAsia" w:hAnsiTheme="minorEastAsia" w:eastAsiaTheme="minorEastAsia" w:cstheme="minorEastAsia"/>
          <w:sz w:val="24"/>
          <w:szCs w:val="24"/>
          <w:lang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仿宋" w:hAnsi="仿宋" w:eastAsia="仿宋" w:cs="仿宋"/>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     年   月   日</w:t>
      </w:r>
    </w:p>
    <w:p>
      <w:pPr>
        <w:pStyle w:val="7"/>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7"/>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p>
    <w:p>
      <w:pPr>
        <w:pStyle w:val="7"/>
        <w:keepNext w:val="0"/>
        <w:keepLines w:val="0"/>
        <w:pageBreakBefore w:val="0"/>
        <w:numPr>
          <w:ilvl w:val="0"/>
          <w:numId w:val="0"/>
        </w:numPr>
        <w:kinsoku/>
        <w:wordWrap/>
        <w:overflowPunct/>
        <w:topLinePunct w:val="0"/>
        <w:bidi w:val="0"/>
        <w:spacing w:after="312" w:afterLines="100" w:line="580" w:lineRule="exact"/>
        <w:ind w:leftChars="0" w:firstLine="2891" w:firstLineChars="1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轮磋商报价表</w:t>
      </w:r>
    </w:p>
    <w:tbl>
      <w:tblPr>
        <w:tblStyle w:val="9"/>
        <w:tblW w:w="10144" w:type="dxa"/>
        <w:tblInd w:w="-871" w:type="dxa"/>
        <w:shd w:val="clear" w:color="auto" w:fill="auto"/>
        <w:tblLayout w:type="fixed"/>
        <w:tblCellMar>
          <w:top w:w="0" w:type="dxa"/>
          <w:left w:w="108" w:type="dxa"/>
          <w:bottom w:w="0" w:type="dxa"/>
          <w:right w:w="108" w:type="dxa"/>
        </w:tblCellMar>
      </w:tblPr>
      <w:tblGrid>
        <w:gridCol w:w="1116"/>
        <w:gridCol w:w="2230"/>
        <w:gridCol w:w="731"/>
        <w:gridCol w:w="635"/>
        <w:gridCol w:w="981"/>
        <w:gridCol w:w="865"/>
        <w:gridCol w:w="3586"/>
      </w:tblGrid>
      <w:tr>
        <w:tblPrEx>
          <w:shd w:val="clear" w:color="auto" w:fill="auto"/>
          <w:tblLayout w:type="fixed"/>
          <w:tblCellMar>
            <w:top w:w="0" w:type="dxa"/>
            <w:left w:w="108" w:type="dxa"/>
            <w:bottom w:w="0" w:type="dxa"/>
            <w:right w:w="108" w:type="dxa"/>
          </w:tblCellMar>
        </w:tblPrEx>
        <w:trPr>
          <w:trHeight w:val="550" w:hRule="atLeast"/>
        </w:trPr>
        <w:tc>
          <w:tcPr>
            <w:tcW w:w="10144"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内饰改装项目表</w:t>
            </w:r>
            <w:r>
              <w:rPr>
                <w:rFonts w:hint="default" w:ascii="等线" w:hAnsi="等线" w:eastAsia="等线" w:cs="等线"/>
                <w:i w:val="0"/>
                <w:iCs w:val="0"/>
                <w:color w:val="000000"/>
                <w:kern w:val="0"/>
                <w:sz w:val="32"/>
                <w:szCs w:val="32"/>
                <w:u w:val="none"/>
                <w:lang w:val="en-US" w:eastAsia="zh-CN" w:bidi="ar"/>
              </w:rPr>
              <w:t>（20座）</w:t>
            </w:r>
          </w:p>
        </w:tc>
      </w:tr>
      <w:tr>
        <w:tblPrEx>
          <w:tblLayout w:type="fixed"/>
          <w:tblCellMar>
            <w:top w:w="0" w:type="dxa"/>
            <w:left w:w="108" w:type="dxa"/>
            <w:bottom w:w="0" w:type="dxa"/>
            <w:right w:w="108" w:type="dxa"/>
          </w:tblCellMar>
        </w:tblPrEx>
        <w:trPr>
          <w:trHeight w:val="42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5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4.0L汽油20座特别版（制造厂专用型号GRB53L-ZCMSK)</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5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20座</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90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260" w:hRule="atLeast"/>
        </w:trPr>
        <w:tc>
          <w:tcPr>
            <w:tcW w:w="1014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320"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整体要求</w:t>
            </w:r>
          </w:p>
        </w:tc>
        <w:tc>
          <w:tcPr>
            <w:tcW w:w="679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座位数不变，整体后移，加装办公桌、副驾驶背后第一个座椅也保留</w:t>
            </w:r>
          </w:p>
        </w:tc>
      </w:tr>
      <w:tr>
        <w:tblPrEx>
          <w:tblLayout w:type="fixed"/>
          <w:tblCellMar>
            <w:top w:w="0" w:type="dxa"/>
            <w:left w:w="108" w:type="dxa"/>
            <w:bottom w:w="0" w:type="dxa"/>
            <w:right w:w="108" w:type="dxa"/>
          </w:tblCellMar>
        </w:tblPrEx>
        <w:trPr>
          <w:trHeight w:val="3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整体座椅位置变更</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次</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整体后移留出办公桌位置，保留20座</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侧壁蒙皮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车内两侧侧壁下半部分</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58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原厂款，主副驾，S2不要</w:t>
            </w:r>
          </w:p>
        </w:tc>
      </w:tr>
      <w:tr>
        <w:tblPrEx>
          <w:tblLayout w:type="fixed"/>
          <w:tblCellMar>
            <w:top w:w="0" w:type="dxa"/>
            <w:left w:w="108" w:type="dxa"/>
            <w:bottom w:w="0" w:type="dxa"/>
            <w:right w:w="108" w:type="dxa"/>
          </w:tblCellMar>
        </w:tblPrEx>
        <w:trPr>
          <w:trHeight w:val="9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国产，安卓系统，带导航</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520" w:hRule="atLeast"/>
        </w:trPr>
        <w:tc>
          <w:tcPr>
            <w:tcW w:w="569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合计</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tbl>
      <w:tblPr>
        <w:tblStyle w:val="9"/>
        <w:tblW w:w="9942" w:type="dxa"/>
        <w:tblInd w:w="-834" w:type="dxa"/>
        <w:shd w:val="clear" w:color="auto" w:fill="auto"/>
        <w:tblLayout w:type="fixed"/>
        <w:tblCellMar>
          <w:top w:w="0" w:type="dxa"/>
          <w:left w:w="108" w:type="dxa"/>
          <w:bottom w:w="0" w:type="dxa"/>
          <w:right w:w="108" w:type="dxa"/>
        </w:tblCellMar>
      </w:tblPr>
      <w:tblGrid>
        <w:gridCol w:w="1173"/>
        <w:gridCol w:w="1904"/>
        <w:gridCol w:w="673"/>
        <w:gridCol w:w="730"/>
        <w:gridCol w:w="885"/>
        <w:gridCol w:w="923"/>
        <w:gridCol w:w="3654"/>
      </w:tblGrid>
      <w:tr>
        <w:tblPrEx>
          <w:shd w:val="clear" w:color="auto" w:fill="auto"/>
          <w:tblLayout w:type="fixed"/>
          <w:tblCellMar>
            <w:top w:w="0" w:type="dxa"/>
            <w:left w:w="108" w:type="dxa"/>
            <w:bottom w:w="0" w:type="dxa"/>
            <w:right w:w="108" w:type="dxa"/>
          </w:tblCellMar>
        </w:tblPrEx>
        <w:trPr>
          <w:trHeight w:val="550" w:hRule="atLeast"/>
        </w:trPr>
        <w:tc>
          <w:tcPr>
            <w:tcW w:w="9942"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default" w:ascii="等线" w:hAnsi="等线" w:eastAsia="等线" w:cs="等线"/>
                <w:i w:val="0"/>
                <w:iCs w:val="0"/>
                <w:color w:val="000000"/>
                <w:kern w:val="0"/>
                <w:sz w:val="32"/>
                <w:szCs w:val="32"/>
                <w:u w:val="none"/>
                <w:lang w:val="en-US" w:eastAsia="zh-CN" w:bidi="ar"/>
              </w:rPr>
              <w:t>柯斯达</w:t>
            </w:r>
            <w:r>
              <w:rPr>
                <w:rFonts w:hint="eastAsia" w:ascii="等线" w:hAnsi="等线" w:eastAsia="等线" w:cs="等线"/>
                <w:i w:val="0"/>
                <w:iCs w:val="0"/>
                <w:color w:val="000000"/>
                <w:kern w:val="0"/>
                <w:sz w:val="32"/>
                <w:szCs w:val="32"/>
                <w:u w:val="none"/>
                <w:lang w:val="en-US" w:eastAsia="zh-CN" w:bidi="ar"/>
              </w:rPr>
              <w:t>内饰改装项目表</w:t>
            </w:r>
            <w:r>
              <w:rPr>
                <w:rFonts w:hint="default" w:ascii="等线" w:hAnsi="等线" w:eastAsia="等线" w:cs="等线"/>
                <w:i w:val="0"/>
                <w:iCs w:val="0"/>
                <w:color w:val="000000"/>
                <w:kern w:val="0"/>
                <w:sz w:val="32"/>
                <w:szCs w:val="32"/>
                <w:u w:val="none"/>
                <w:lang w:val="en-US" w:eastAsia="zh-CN" w:bidi="ar"/>
              </w:rPr>
              <w:t>（17座）</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基础车型</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4.0L汽油特别版（制造厂专用型号GRB53L-ZCMSK)</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颜色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4Q4</w:t>
            </w:r>
          </w:p>
        </w:tc>
      </w:tr>
      <w:tr>
        <w:tblPrEx>
          <w:tblLayout w:type="fixed"/>
          <w:tblCellMar>
            <w:top w:w="0" w:type="dxa"/>
            <w:left w:w="108" w:type="dxa"/>
            <w:bottom w:w="0" w:type="dxa"/>
            <w:right w:w="108" w:type="dxa"/>
          </w:tblCellMar>
        </w:tblPrEx>
        <w:trPr>
          <w:trHeight w:val="44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座位数要求</w:t>
            </w:r>
          </w:p>
        </w:tc>
        <w:tc>
          <w:tcPr>
            <w:tcW w:w="3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17座（在20座基础上取消驾驶员及副驾驶背后第一排）</w:t>
            </w:r>
          </w:p>
        </w:tc>
        <w:tc>
          <w:tcPr>
            <w:tcW w:w="1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V6</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原厂配置</w:t>
            </w:r>
          </w:p>
        </w:tc>
        <w:tc>
          <w:tcPr>
            <w:tcW w:w="87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原厂滑动式自动门、黑色窗框、前脸镀铬装饰条、驾驶席+助手席扶手</w:t>
            </w:r>
          </w:p>
        </w:tc>
      </w:tr>
      <w:tr>
        <w:tblPrEx>
          <w:tblLayout w:type="fixed"/>
          <w:tblCellMar>
            <w:top w:w="0" w:type="dxa"/>
            <w:left w:w="108" w:type="dxa"/>
            <w:bottom w:w="0" w:type="dxa"/>
            <w:right w:w="108" w:type="dxa"/>
          </w:tblCellMar>
        </w:tblPrEx>
        <w:trPr>
          <w:trHeight w:val="400" w:hRule="atLeast"/>
        </w:trPr>
        <w:tc>
          <w:tcPr>
            <w:tcW w:w="994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加改装项目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项目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单价</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金额</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备注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带雨伞架饮水机柜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含饮水机、储物柜、伞架</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豪华办公桌</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张</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双杯架、纸巾盒、桃木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强化地板</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强化木地板</w:t>
            </w:r>
          </w:p>
        </w:tc>
      </w:tr>
      <w:tr>
        <w:tblPrEx>
          <w:tblLayout w:type="fixed"/>
          <w:tblCellMar>
            <w:top w:w="0" w:type="dxa"/>
            <w:left w:w="108" w:type="dxa"/>
            <w:bottom w:w="0" w:type="dxa"/>
            <w:right w:w="108" w:type="dxa"/>
          </w:tblCellMar>
        </w:tblPrEx>
        <w:trPr>
          <w:trHeight w:val="4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豪华版背板带杯架及网兜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72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动车款手动窗帘</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高铁动车样式和操作方法，任意停，5套立柱灯，桃木饰条，无纺布。S2位置、中门要安装，含窗套。</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滑动玻璃改密封玻璃</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原厂款</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电动台阶</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柯斯达专用</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不锈钢轮罩</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带LOGO</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皮座椅</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17</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座</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超纤皮</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导航（带DVD)</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国产品牌，安卓系统，带导航</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可视倒车</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仅后视</w:t>
            </w:r>
          </w:p>
        </w:tc>
      </w:tr>
      <w:tr>
        <w:tblPrEx>
          <w:tblLayout w:type="fixed"/>
          <w:tblCellMar>
            <w:top w:w="0" w:type="dxa"/>
            <w:left w:w="108" w:type="dxa"/>
            <w:bottom w:w="0" w:type="dxa"/>
            <w:right w:w="108" w:type="dxa"/>
          </w:tblCellMar>
        </w:tblPrEx>
        <w:trPr>
          <w:trHeight w:val="5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车载电视</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24寸电动屏幕，带WIFI/蓝牙、手机投屏</w:t>
            </w: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发动机盖蒙皮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车内轮拱菱形蒙皮</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r>
        <w:tblPrEx>
          <w:tblLayout w:type="fixed"/>
          <w:tblCellMar>
            <w:top w:w="0" w:type="dxa"/>
            <w:left w:w="108" w:type="dxa"/>
            <w:bottom w:w="0" w:type="dxa"/>
            <w:right w:w="108" w:type="dxa"/>
          </w:tblCellMar>
        </w:tblPrEx>
        <w:trPr>
          <w:trHeight w:val="400" w:hRule="atLeast"/>
        </w:trPr>
        <w:tc>
          <w:tcPr>
            <w:tcW w:w="53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加装合计</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等线" w:hAnsi="等线" w:eastAsia="等线" w:cs="等线"/>
                <w:i w:val="0"/>
                <w:iCs w:val="0"/>
                <w:color w:val="000000"/>
                <w:sz w:val="18"/>
                <w:szCs w:val="18"/>
                <w:u w:val="none"/>
              </w:rPr>
            </w:pPr>
          </w:p>
        </w:tc>
      </w:tr>
    </w:tbl>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5280" w:firstLineChars="2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5280" w:firstLineChars="2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7"/>
        <w:keepNext w:val="0"/>
        <w:keepLines w:val="0"/>
        <w:pageBreakBefore w:val="0"/>
        <w:tabs>
          <w:tab w:val="right" w:pos="8278"/>
        </w:tabs>
        <w:kinsoku/>
        <w:wordWrap/>
        <w:overflowPunct/>
        <w:topLinePunct w:val="0"/>
        <w:bidi w:val="0"/>
        <w:spacing w:line="580" w:lineRule="exac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5280" w:firstLineChars="2200"/>
        <w:rPr>
          <w:rFonts w:hint="eastAsia"/>
          <w:b/>
          <w:sz w:val="24"/>
        </w:rPr>
      </w:pPr>
      <w:r>
        <w:rPr>
          <w:rFonts w:hint="eastAsia" w:asciiTheme="minorEastAsia" w:hAnsiTheme="minorEastAsia" w:eastAsiaTheme="minorEastAsia" w:cstheme="minorEastAsia"/>
          <w:sz w:val="24"/>
          <w:szCs w:val="24"/>
        </w:rPr>
        <w:t>日期：     年   月   日</w:t>
      </w: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9"/>
        <w:tblW w:w="10094" w:type="dxa"/>
        <w:tblInd w:w="-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825"/>
        <w:gridCol w:w="1733"/>
        <w:gridCol w:w="1147"/>
        <w:gridCol w:w="144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7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801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801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jc w:val="center"/>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绵阳交发顺达出租汽车有限公司公司：</w:t>
      </w:r>
    </w:p>
    <w:p>
      <w:pPr>
        <w:keepNext w:val="0"/>
        <w:keepLines w:val="0"/>
        <w:pageBreakBefore w:val="0"/>
        <w:kinsoku/>
        <w:wordWrap/>
        <w:overflowPunct/>
        <w:topLinePunct w:val="0"/>
        <w:bidi w:val="0"/>
        <w:adjustRightInd w:val="0"/>
        <w:snapToGrid w:val="0"/>
        <w:spacing w:line="580" w:lineRule="exact"/>
        <w:ind w:firstLine="482" w:firstLineChars="200"/>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w:t>
      </w:r>
    </w:p>
    <w:p>
      <w:pPr>
        <w:keepNext w:val="0"/>
        <w:keepLines w:val="0"/>
        <w:pageBreakBefore w:val="0"/>
        <w:kinsoku/>
        <w:wordWrap/>
        <w:overflowPunct/>
        <w:topLinePunct w:val="0"/>
        <w:bidi w:val="0"/>
        <w:adjustRightInd w:val="0"/>
        <w:snapToGrid w:val="0"/>
        <w:spacing w:line="580" w:lineRule="exact"/>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w:t>
      </w:r>
    </w:p>
    <w:p>
      <w:pPr>
        <w:keepNext w:val="0"/>
        <w:keepLines w:val="0"/>
        <w:pageBreakBefore w:val="0"/>
        <w:kinsoku/>
        <w:wordWrap/>
        <w:overflowPunct/>
        <w:topLinePunct w:val="0"/>
        <w:bidi w:val="0"/>
        <w:adjustRightInd w:val="0"/>
        <w:snapToGrid w:val="0"/>
        <w:spacing w:line="580" w:lineRule="exact"/>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w:t>
      </w: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供应商（公章）：</w:t>
      </w:r>
    </w:p>
    <w:p>
      <w:pPr>
        <w:pStyle w:val="7"/>
        <w:keepNext w:val="0"/>
        <w:keepLines w:val="0"/>
        <w:pageBreakBefore w:val="0"/>
        <w:tabs>
          <w:tab w:val="right" w:pos="8278"/>
        </w:tabs>
        <w:kinsoku/>
        <w:wordWrap/>
        <w:overflowPunct/>
        <w:topLinePunct w:val="0"/>
        <w:bidi w:val="0"/>
        <w:spacing w:line="580" w:lineRule="exact"/>
        <w:jc w:val="right"/>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全权代表（签章）：</w:t>
      </w:r>
    </w:p>
    <w:p>
      <w:pPr>
        <w:pStyle w:val="7"/>
        <w:keepNext w:val="0"/>
        <w:keepLines w:val="0"/>
        <w:pageBreakBefore w:val="0"/>
        <w:tabs>
          <w:tab w:val="right" w:pos="8278"/>
        </w:tabs>
        <w:kinsoku/>
        <w:wordWrap/>
        <w:overflowPunct/>
        <w:topLinePunct w:val="0"/>
        <w:bidi w:val="0"/>
        <w:spacing w:line="580" w:lineRule="exact"/>
        <w:ind w:firstLine="360" w:firstLineChars="150"/>
        <w:jc w:val="right"/>
        <w:rPr>
          <w:rFonts w:hint="eastAsia" w:asciiTheme="minorEastAsia" w:hAnsiTheme="minorEastAsia" w:eastAsiaTheme="minorEastAsia" w:cstheme="minorEastAsia"/>
          <w:sz w:val="24"/>
          <w:szCs w:val="24"/>
          <w:lang w:eastAsia="zh-CN"/>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     年   月   日</w:t>
      </w: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pStyle w:val="7"/>
        <w:keepNext w:val="0"/>
        <w:keepLines w:val="0"/>
        <w:pageBreakBefore w:val="0"/>
        <w:tabs>
          <w:tab w:val="right" w:pos="8278"/>
        </w:tabs>
        <w:kinsoku/>
        <w:wordWrap/>
        <w:overflowPunct/>
        <w:topLinePunct w:val="0"/>
        <w:bidi w:val="0"/>
        <w:spacing w:line="580" w:lineRule="exact"/>
        <w:ind w:firstLine="360" w:firstLineChars="150"/>
        <w:jc w:val="center"/>
        <w:rPr>
          <w:rFonts w:hint="eastAsia" w:asciiTheme="minorEastAsia" w:hAnsiTheme="minorEastAsia" w:eastAsiaTheme="minorEastAsia" w:cstheme="minorEastAsia"/>
          <w:sz w:val="24"/>
          <w:szCs w:val="24"/>
        </w:rPr>
      </w:pPr>
    </w:p>
    <w:p>
      <w:pPr>
        <w:spacing w:line="360" w:lineRule="auto"/>
        <w:jc w:val="center"/>
        <w:rPr>
          <w:rFonts w:ascii="宋体" w:hAnsi="宋体" w:cs="宋体"/>
          <w:b/>
          <w:sz w:val="24"/>
          <w:szCs w:val="24"/>
        </w:rPr>
      </w:pPr>
      <w:r>
        <w:rPr>
          <w:rFonts w:hint="eastAsia" w:ascii="宋体" w:hAnsi="宋体" w:cs="宋体"/>
          <w:b/>
          <w:sz w:val="24"/>
          <w:szCs w:val="24"/>
        </w:rPr>
        <w:t>授权书</w:t>
      </w:r>
    </w:p>
    <w:p>
      <w:pPr>
        <w:spacing w:line="360" w:lineRule="auto"/>
        <w:rPr>
          <w:rFonts w:ascii="宋体" w:hAnsi="宋体" w:cs="宋体"/>
          <w:sz w:val="24"/>
          <w:szCs w:val="24"/>
        </w:rPr>
      </w:pPr>
    </w:p>
    <w:p>
      <w:pPr>
        <w:spacing w:line="360" w:lineRule="auto"/>
        <w:ind w:firstLine="465"/>
        <w:jc w:val="left"/>
        <w:rPr>
          <w:rFonts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val="en-US" w:eastAsia="zh-CN"/>
        </w:rPr>
        <w:t>磋商</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单位公章：</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法定代表人签字：</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年    月   日  </w:t>
      </w:r>
    </w:p>
    <w:p>
      <w:pPr>
        <w:pStyle w:val="7"/>
        <w:keepNext w:val="0"/>
        <w:keepLines w:val="0"/>
        <w:pageBreakBefore w:val="0"/>
        <w:tabs>
          <w:tab w:val="right" w:pos="8278"/>
        </w:tabs>
        <w:kinsoku/>
        <w:wordWrap/>
        <w:overflowPunct/>
        <w:topLinePunct w:val="0"/>
        <w:bidi w:val="0"/>
        <w:spacing w:line="580" w:lineRule="exact"/>
        <w:ind w:firstLine="360" w:firstLineChars="150"/>
        <w:jc w:val="both"/>
        <w:rPr>
          <w:rFonts w:hint="eastAsia" w:asciiTheme="minorEastAsia" w:hAnsiTheme="minorEastAsia" w:eastAsiaTheme="minorEastAsia" w:cstheme="minorEastAsia"/>
          <w:sz w:val="24"/>
          <w:szCs w:val="24"/>
        </w:rPr>
      </w:pPr>
    </w:p>
    <w:p>
      <w:pPr>
        <w:jc w:val="right"/>
      </w:pPr>
    </w:p>
    <w:sectPr>
      <w:footerReference r:id="rId5" w:type="default"/>
      <w:pgSz w:w="11906" w:h="16838"/>
      <w:pgMar w:top="1440" w:right="1531"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13A55209"/>
    <w:multiLevelType w:val="multilevel"/>
    <w:tmpl w:val="13A552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5500F9"/>
    <w:multiLevelType w:val="multilevel"/>
    <w:tmpl w:val="245500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335D2E"/>
    <w:multiLevelType w:val="singleLevel"/>
    <w:tmpl w:val="5A335D2E"/>
    <w:lvl w:ilvl="0" w:tentative="0">
      <w:start w:val="3"/>
      <w:numFmt w:val="chineseCounting"/>
      <w:suff w:val="nothing"/>
      <w:lvlText w:val="%1、"/>
      <w:lvlJc w:val="left"/>
    </w:lvl>
  </w:abstractNum>
  <w:abstractNum w:abstractNumId="6">
    <w:nsid w:val="7A973B49"/>
    <w:multiLevelType w:val="multilevel"/>
    <w:tmpl w:val="7A973B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746BBE"/>
    <w:multiLevelType w:val="multilevel"/>
    <w:tmpl w:val="7E746B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4276AF7"/>
    <w:rsid w:val="055E58B1"/>
    <w:rsid w:val="06B85B24"/>
    <w:rsid w:val="0BBC2936"/>
    <w:rsid w:val="0E247A4B"/>
    <w:rsid w:val="0E735DB7"/>
    <w:rsid w:val="0EE71D41"/>
    <w:rsid w:val="141F0B65"/>
    <w:rsid w:val="20AD3F50"/>
    <w:rsid w:val="22621D47"/>
    <w:rsid w:val="2293028E"/>
    <w:rsid w:val="22EC34C8"/>
    <w:rsid w:val="260B712F"/>
    <w:rsid w:val="2AA80944"/>
    <w:rsid w:val="2B1F0505"/>
    <w:rsid w:val="2B8E3C2A"/>
    <w:rsid w:val="2DD774AF"/>
    <w:rsid w:val="2E242C5A"/>
    <w:rsid w:val="31673FB2"/>
    <w:rsid w:val="3189136E"/>
    <w:rsid w:val="36187CEE"/>
    <w:rsid w:val="3C04560E"/>
    <w:rsid w:val="3D4A49BB"/>
    <w:rsid w:val="3DF40569"/>
    <w:rsid w:val="40BD6019"/>
    <w:rsid w:val="419806DC"/>
    <w:rsid w:val="43A236CE"/>
    <w:rsid w:val="444C38AE"/>
    <w:rsid w:val="46076A02"/>
    <w:rsid w:val="48220D09"/>
    <w:rsid w:val="49141327"/>
    <w:rsid w:val="4CEA30E5"/>
    <w:rsid w:val="56D651E4"/>
    <w:rsid w:val="570C01F7"/>
    <w:rsid w:val="5A9D2679"/>
    <w:rsid w:val="5FCD0EE2"/>
    <w:rsid w:val="60465951"/>
    <w:rsid w:val="60DF5CC4"/>
    <w:rsid w:val="630E4E36"/>
    <w:rsid w:val="6451182B"/>
    <w:rsid w:val="650179C8"/>
    <w:rsid w:val="67B114F0"/>
    <w:rsid w:val="68462F7F"/>
    <w:rsid w:val="692C4320"/>
    <w:rsid w:val="6A000F53"/>
    <w:rsid w:val="6B27538A"/>
    <w:rsid w:val="6B5862C1"/>
    <w:rsid w:val="715B39D5"/>
    <w:rsid w:val="73845B65"/>
    <w:rsid w:val="75BB3117"/>
    <w:rsid w:val="75CF680D"/>
    <w:rsid w:val="760B082C"/>
    <w:rsid w:val="7779258A"/>
    <w:rsid w:val="7AB4101A"/>
    <w:rsid w:val="7CDF6F34"/>
    <w:rsid w:val="7CE63499"/>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adjustRightInd w:val="0"/>
      <w:snapToGrid w:val="0"/>
      <w:spacing w:line="480" w:lineRule="atLeast"/>
    </w:pPr>
    <w:rPr>
      <w:rFonts w:ascii="宋体" w:hAnsi="宋体"/>
      <w:kern w:val="0"/>
      <w:sz w:val="2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天天开心</cp:lastModifiedBy>
  <cp:lastPrinted>2021-07-23T04:21:59Z</cp:lastPrinted>
  <dcterms:modified xsi:type="dcterms:W3CDTF">2021-07-23T04:28:35Z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7A93B3C905DC4E3D838D6652299E8B1A</vt:lpwstr>
  </property>
</Properties>
</file>