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经营车辆（柯斯达）采购项目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202101</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经营车辆（柯斯达）采购项目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21</w:t>
      </w:r>
      <w:r>
        <w:rPr>
          <w:rFonts w:hint="eastAsia" w:ascii="宋体" w:hAnsi="宋体"/>
          <w:b/>
          <w:sz w:val="28"/>
          <w:szCs w:val="28"/>
        </w:rPr>
        <w:t>年</w:t>
      </w:r>
      <w:r>
        <w:rPr>
          <w:rFonts w:hint="eastAsia" w:ascii="宋体" w:hAnsi="宋体"/>
          <w:b/>
          <w:sz w:val="28"/>
          <w:szCs w:val="28"/>
          <w:lang w:val="en-US" w:eastAsia="zh-CN"/>
        </w:rPr>
        <w:t>6</w:t>
      </w:r>
      <w:r>
        <w:rPr>
          <w:rFonts w:hint="eastAsia" w:ascii="宋体" w:hAnsi="宋体"/>
          <w:b/>
          <w:sz w:val="28"/>
          <w:szCs w:val="28"/>
        </w:rPr>
        <w:t>月</w:t>
      </w:r>
      <w:r>
        <w:rPr>
          <w:rFonts w:hint="eastAsia" w:ascii="宋体" w:hAnsi="宋体"/>
          <w:b/>
          <w:sz w:val="28"/>
          <w:szCs w:val="28"/>
          <w:lang w:val="en-US" w:eastAsia="zh-CN"/>
        </w:rPr>
        <w:t>15</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Theme="majorEastAsia" w:hAnsiTheme="majorEastAsia" w:eastAsiaTheme="majorEastAsia" w:cstheme="majorEastAsia"/>
          <w:i w:val="0"/>
          <w:caps w:val="0"/>
          <w:color w:val="000000"/>
          <w:spacing w:val="0"/>
          <w:sz w:val="44"/>
          <w:szCs w:val="44"/>
          <w:shd w:val="clear" w:fill="FFFFFF"/>
          <w:lang w:val="en-US" w:eastAsia="zh-CN"/>
        </w:rPr>
      </w:pPr>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经营车辆（柯斯达）采购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p>
    <w:p>
      <w:pPr>
        <w:pStyle w:val="2"/>
        <w:spacing w:line="580" w:lineRule="exact"/>
        <w:ind w:firstLine="0"/>
        <w:jc w:val="center"/>
        <w:outlineLvl w:val="0"/>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rPr>
        <w:t>公</w:t>
      </w:r>
      <w:r>
        <w:rPr>
          <w:rFonts w:hint="eastAsia" w:asciiTheme="majorEastAsia" w:hAnsiTheme="majorEastAsia" w:eastAsiaTheme="majorEastAsia" w:cstheme="majorEastAsia"/>
          <w:i w:val="0"/>
          <w:caps w:val="0"/>
          <w:color w:val="000000"/>
          <w:spacing w:val="0"/>
          <w:sz w:val="44"/>
          <w:szCs w:val="44"/>
          <w:shd w:val="clear" w:fill="FFFFFF"/>
          <w:lang w:val="en-US" w:eastAsia="zh-CN"/>
        </w:rPr>
        <w:t xml:space="preserve"> </w:t>
      </w:r>
      <w:r>
        <w:rPr>
          <w:rFonts w:hint="eastAsia" w:asciiTheme="majorEastAsia" w:hAnsiTheme="majorEastAsia" w:eastAsiaTheme="majorEastAsia" w:cstheme="majorEastAsia"/>
          <w:i w:val="0"/>
          <w:caps w:val="0"/>
          <w:color w:val="000000"/>
          <w:spacing w:val="0"/>
          <w:sz w:val="44"/>
          <w:szCs w:val="44"/>
          <w:shd w:val="clear" w:fill="FFFFFF"/>
        </w:rPr>
        <w:t>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根据我司业务需要，拟采购2辆车辆，用于生产经营，并决定对本项目采取竞争性谈判方式确定车辆供应商，欢迎具备条件的供应商参加谈判。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2.项目名称：经营车辆(柯斯达）采购项目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1辆柯斯达（2020款4.0L汽油特别版17座浅驼色带航空门）、1辆柯斯达（2020款4.0L汽油特别版20座浅驼色带航空门）。</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1.报名时间：截止2021年6月22日下午16点。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2.报名要求：有意参加竞争性谈判的企业请将营业执照副本复印件（盖鲜章）一式一份送到绵阳交发顺达出租汽车有限公司预审，同时向绵阳交发顺达出租汽车有限公司缴纳谈判保证金10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spacing w:line="580" w:lineRule="exact"/>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2021年6月23日 上午9:30分。</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1.时间：2021年6月23日上午9:30分</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p>
    <w:p>
      <w:pPr>
        <w:keepNext w:val="0"/>
        <w:keepLines w:val="0"/>
        <w:pageBreakBefore w:val="0"/>
        <w:kinsoku/>
        <w:wordWrap/>
        <w:overflowPunct/>
        <w:topLinePunct w:val="0"/>
        <w:bidi w:val="0"/>
        <w:adjustRightInd w:val="0"/>
        <w:snapToGrid w:val="0"/>
        <w:spacing w:line="580" w:lineRule="exact"/>
        <w:jc w:val="center"/>
        <w:rPr>
          <w:rFonts w:ascii="宋体" w:hAnsi="宋体"/>
          <w:b/>
          <w:sz w:val="44"/>
          <w:szCs w:val="44"/>
        </w:rPr>
      </w:pPr>
      <w:r>
        <w:rPr>
          <w:rFonts w:ascii="宋体" w:hAnsi="宋体"/>
          <w:b/>
          <w:sz w:val="36"/>
          <w:szCs w:val="36"/>
        </w:rPr>
        <w:t xml:space="preserve"> </w:t>
      </w:r>
      <w:r>
        <w:rPr>
          <w:rFonts w:ascii="宋体" w:hAnsi="宋体"/>
          <w:b/>
          <w:sz w:val="44"/>
          <w:szCs w:val="44"/>
        </w:rPr>
        <w:t xml:space="preserve"> </w:t>
      </w: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2021年6月22日下午16点前向采购人缴纳谈判保证金10000.00元。谈判保证金退还时间为谈判结束后5个工作日。若供应商报名、缴纳谈判保证金后没有参与谈判的，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10000.00元（谈判保证金可转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21</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6</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23</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9:30分</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r>
        <w:rPr>
          <w:rFonts w:hint="eastAsia" w:ascii="仿宋" w:hAnsi="仿宋" w:eastAsia="仿宋" w:cs="仿宋"/>
          <w:b w:val="0"/>
          <w:bCs/>
          <w:sz w:val="32"/>
          <w:szCs w:val="32"/>
          <w:lang w:eastAsia="zh-CN"/>
        </w:rPr>
        <w:t>本次投标限总价上限</w:t>
      </w:r>
      <w:r>
        <w:rPr>
          <w:rFonts w:hint="eastAsia" w:ascii="仿宋" w:hAnsi="仿宋" w:eastAsia="仿宋" w:cs="仿宋"/>
          <w:b w:val="0"/>
          <w:bCs/>
          <w:sz w:val="32"/>
          <w:szCs w:val="32"/>
          <w:lang w:val="en-US" w:eastAsia="zh-CN"/>
        </w:rPr>
        <w:t>96万元。</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彭方于、需求部门负责人蒋浩然、王飞；财务负责人赵佳；运营管理部负责人廖银松；车辆技术部负责人李斌；安全管理部负责人赵思翔。现场监督：监事周飞宇；纪检委员杜娟。</w:t>
      </w:r>
      <w:bookmarkStart w:id="0" w:name="_GoBack"/>
      <w:bookmarkEnd w:id="0"/>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1辆柯斯达（2020款4.0L汽油特别版17座浅驼色带航空门）、1辆柯斯达（2020款4.0L汽油特别版20座浅驼色带航空门）。</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柯斯达（2020款4.0L汽油特别版17座浅驼色带航空门）、柯斯达（2020款4.0L汽油特别版20座浅驼色带航空门）车辆</w:t>
      </w:r>
      <w:r>
        <w:rPr>
          <w:rFonts w:hint="eastAsia" w:ascii="仿宋" w:hAnsi="仿宋" w:eastAsia="仿宋" w:cs="仿宋"/>
          <w:color w:val="auto"/>
          <w:sz w:val="32"/>
          <w:szCs w:val="32"/>
          <w:lang w:val="en-US" w:eastAsia="zh-CN"/>
        </w:rPr>
        <w:t>标准规格、参数。</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172399B"/>
    <w:rsid w:val="02E605AE"/>
    <w:rsid w:val="04276AF7"/>
    <w:rsid w:val="04F14CEB"/>
    <w:rsid w:val="06037C4D"/>
    <w:rsid w:val="0BBC2936"/>
    <w:rsid w:val="0D11319C"/>
    <w:rsid w:val="0D342FDF"/>
    <w:rsid w:val="0D3562BA"/>
    <w:rsid w:val="0E735DB7"/>
    <w:rsid w:val="0EB473B6"/>
    <w:rsid w:val="0ED64F14"/>
    <w:rsid w:val="0F642AA0"/>
    <w:rsid w:val="114B3EB3"/>
    <w:rsid w:val="141F0B65"/>
    <w:rsid w:val="149F3324"/>
    <w:rsid w:val="14C26173"/>
    <w:rsid w:val="165D0F93"/>
    <w:rsid w:val="16CA614A"/>
    <w:rsid w:val="1C8728AE"/>
    <w:rsid w:val="1E075E5F"/>
    <w:rsid w:val="22621D47"/>
    <w:rsid w:val="2293028E"/>
    <w:rsid w:val="22EC34C8"/>
    <w:rsid w:val="248622B6"/>
    <w:rsid w:val="26A47464"/>
    <w:rsid w:val="26BD6349"/>
    <w:rsid w:val="270A3F4D"/>
    <w:rsid w:val="27647D1B"/>
    <w:rsid w:val="28520D22"/>
    <w:rsid w:val="2AEB0307"/>
    <w:rsid w:val="2B8E3C2A"/>
    <w:rsid w:val="2BC1202F"/>
    <w:rsid w:val="2E242C5A"/>
    <w:rsid w:val="311D59FC"/>
    <w:rsid w:val="31673FB2"/>
    <w:rsid w:val="31FD48BF"/>
    <w:rsid w:val="351646A1"/>
    <w:rsid w:val="36B3036B"/>
    <w:rsid w:val="387C0B83"/>
    <w:rsid w:val="39E15149"/>
    <w:rsid w:val="3C1B5E7A"/>
    <w:rsid w:val="3D223927"/>
    <w:rsid w:val="3D30724C"/>
    <w:rsid w:val="3DDC6B8E"/>
    <w:rsid w:val="3E145345"/>
    <w:rsid w:val="3E447E51"/>
    <w:rsid w:val="3E761C8C"/>
    <w:rsid w:val="3ED748AA"/>
    <w:rsid w:val="3F284FFB"/>
    <w:rsid w:val="3F3744DC"/>
    <w:rsid w:val="3F6C5907"/>
    <w:rsid w:val="40450273"/>
    <w:rsid w:val="405E0E99"/>
    <w:rsid w:val="40BD6019"/>
    <w:rsid w:val="40E23754"/>
    <w:rsid w:val="41880D74"/>
    <w:rsid w:val="419806DC"/>
    <w:rsid w:val="42457CCB"/>
    <w:rsid w:val="4336738D"/>
    <w:rsid w:val="43A236CE"/>
    <w:rsid w:val="444C38AE"/>
    <w:rsid w:val="46251F26"/>
    <w:rsid w:val="46CF13A1"/>
    <w:rsid w:val="480E2C5D"/>
    <w:rsid w:val="48220D09"/>
    <w:rsid w:val="49141327"/>
    <w:rsid w:val="49174971"/>
    <w:rsid w:val="4A9628AA"/>
    <w:rsid w:val="4B4351B9"/>
    <w:rsid w:val="4CB312DE"/>
    <w:rsid w:val="4CEA30E5"/>
    <w:rsid w:val="4D0879BD"/>
    <w:rsid w:val="4E464318"/>
    <w:rsid w:val="4E676FB3"/>
    <w:rsid w:val="51404004"/>
    <w:rsid w:val="53F95482"/>
    <w:rsid w:val="54317DAE"/>
    <w:rsid w:val="56D651E4"/>
    <w:rsid w:val="5A586E7B"/>
    <w:rsid w:val="5A9D2679"/>
    <w:rsid w:val="5FCD0EE2"/>
    <w:rsid w:val="613F017B"/>
    <w:rsid w:val="61D137CA"/>
    <w:rsid w:val="6451182B"/>
    <w:rsid w:val="64E03A55"/>
    <w:rsid w:val="64E1223B"/>
    <w:rsid w:val="676C110F"/>
    <w:rsid w:val="67B114F0"/>
    <w:rsid w:val="692C4320"/>
    <w:rsid w:val="6B4B160C"/>
    <w:rsid w:val="6B5862C1"/>
    <w:rsid w:val="6BA9179B"/>
    <w:rsid w:val="6BDF567A"/>
    <w:rsid w:val="6CA04257"/>
    <w:rsid w:val="6E010FF7"/>
    <w:rsid w:val="70531AD5"/>
    <w:rsid w:val="70620712"/>
    <w:rsid w:val="715247BC"/>
    <w:rsid w:val="715B39D5"/>
    <w:rsid w:val="72C96D61"/>
    <w:rsid w:val="734D105F"/>
    <w:rsid w:val="73BE1A9C"/>
    <w:rsid w:val="75CF680D"/>
    <w:rsid w:val="75FB0C71"/>
    <w:rsid w:val="75FC5847"/>
    <w:rsid w:val="76D20BA9"/>
    <w:rsid w:val="772929E0"/>
    <w:rsid w:val="7779258A"/>
    <w:rsid w:val="79A336A3"/>
    <w:rsid w:val="7A1433E9"/>
    <w:rsid w:val="7BF64EA1"/>
    <w:rsid w:val="7C177251"/>
    <w:rsid w:val="7CDF6F34"/>
    <w:rsid w:val="7CE63499"/>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2021-06-08T02:47:00Z</cp:lastPrinted>
  <dcterms:modified xsi:type="dcterms:W3CDTF">2021-06-16T06:29:06Z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B363B04E96184BA48101A5700170050E</vt:lpwstr>
  </property>
</Properties>
</file>