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bookmarkStart w:id="0" w:name="_GoBack"/>
      <w:r>
        <w:rPr>
          <w:rFonts w:hint="eastAsia" w:ascii="方正小标宋简体" w:hAnsi="方正小标宋简体" w:eastAsia="方正小标宋简体" w:cs="方正小标宋简体"/>
          <w:b/>
          <w:sz w:val="44"/>
          <w:szCs w:val="44"/>
          <w:lang w:val="en-US" w:eastAsia="zh-CN"/>
        </w:rPr>
        <w:t>经营车辆（丰田荣放）采购项目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bookmarkEnd w:id="0"/>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202011</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经营车辆（丰田荣放）采购项目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17</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经营车辆（丰田荣放）采购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根据我司业务需要，拟采购4辆车辆，用于生产经营，并决定对本项目采取竞争性谈判方式确定车辆供应商，欢迎具备条件的供应商参加谈判。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2.项目名称：经营车辆(丰田荣放）采购项目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4辆丰田RAV4荣放（</w:t>
      </w:r>
      <w:r>
        <w:rPr>
          <w:rFonts w:hint="eastAsia" w:ascii="仿宋_GB2312" w:hAnsi="仿宋_GB2312" w:eastAsia="仿宋_GB2312" w:cs="仿宋_GB2312"/>
          <w:sz w:val="32"/>
          <w:szCs w:val="32"/>
          <w:lang w:eastAsia="zh-CN"/>
        </w:rPr>
        <w:t>都市版 都市卡其色</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1.报名时间：截止2020年12月24日下午16点。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2020年12月25日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1.时间：2020年12月25日上午10点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12月24日下午16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12</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25</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_GB2312" w:hAnsi="仿宋_GB2312" w:eastAsia="仿宋_GB2312" w:cs="仿宋_GB2312"/>
          <w:sz w:val="32"/>
          <w:szCs w:val="32"/>
          <w:lang w:val="en-US" w:eastAsia="zh-CN"/>
        </w:rPr>
        <w:t>采购4辆丰田RAV4荣放（都市版 都市卡其色）车辆。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丰田RAV4荣放（都市版 </w:t>
      </w:r>
      <w:r>
        <w:rPr>
          <w:rFonts w:hint="eastAsia" w:ascii="仿宋_GB2312" w:hAnsi="仿宋_GB2312" w:eastAsia="仿宋_GB2312" w:cs="仿宋_GB2312"/>
          <w:sz w:val="32"/>
          <w:szCs w:val="32"/>
          <w:lang w:val="en-US" w:eastAsia="zh-CN"/>
        </w:rPr>
        <w:t>都市卡其色</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A9179B"/>
    <w:rsid w:val="6BDF567A"/>
    <w:rsid w:val="6CA04257"/>
    <w:rsid w:val="6E010FF7"/>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BF64EA1"/>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2020-12-17T01:40:27Z</cp:lastPrinted>
  <dcterms:modified xsi:type="dcterms:W3CDTF">2020-12-17T02:14:59Z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